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宋体" w:hAnsi="宋体" w:eastAsia="宋体" w:cs="宋体"/>
          <w:sz w:val="28"/>
          <w:szCs w:val="28"/>
          <w:lang w:val="en-US" w:eastAsia="zh-CN"/>
        </w:rPr>
      </w:pPr>
      <w:r>
        <w:rPr>
          <w:rFonts w:hint="eastAsia" w:ascii="宋体" w:hAnsi="宋体" w:cs="宋体"/>
          <w:sz w:val="28"/>
          <w:szCs w:val="28"/>
          <w:lang w:val="en-US" w:eastAsia="zh-CN"/>
        </w:rPr>
        <w:t>附件1：</w:t>
      </w:r>
    </w:p>
    <w:p>
      <w:pPr>
        <w:jc w:val="center"/>
        <w:rPr>
          <w:rFonts w:hint="eastAsia" w:ascii="宋体" w:hAnsi="宋体" w:cs="宋体"/>
          <w:sz w:val="72"/>
          <w:szCs w:val="44"/>
        </w:rPr>
      </w:pPr>
    </w:p>
    <w:p>
      <w:pPr>
        <w:jc w:val="center"/>
        <w:rPr>
          <w:rFonts w:ascii="宋体" w:hAnsi="宋体" w:cs="宋体"/>
          <w:sz w:val="72"/>
          <w:szCs w:val="44"/>
        </w:rPr>
      </w:pPr>
      <w:bookmarkStart w:id="18" w:name="_GoBack"/>
      <w:bookmarkEnd w:id="18"/>
      <w:r>
        <w:rPr>
          <w:rFonts w:hint="eastAsia" w:ascii="宋体" w:hAnsi="宋体" w:cs="宋体"/>
          <w:sz w:val="72"/>
          <w:szCs w:val="44"/>
        </w:rPr>
        <w:t>海南开放大学</w:t>
      </w:r>
    </w:p>
    <w:p>
      <w:pPr>
        <w:jc w:val="center"/>
        <w:rPr>
          <w:rFonts w:ascii="宋体" w:hAnsi="宋体" w:cs="宋体"/>
          <w:sz w:val="72"/>
          <w:szCs w:val="44"/>
        </w:rPr>
      </w:pPr>
      <w:r>
        <w:rPr>
          <w:rFonts w:hint="eastAsia" w:ascii="宋体" w:hAnsi="宋体" w:cs="宋体"/>
          <w:sz w:val="72"/>
          <w:szCs w:val="44"/>
        </w:rPr>
        <w:t>采购需求方案</w:t>
      </w:r>
    </w:p>
    <w:p/>
    <w:p>
      <w:pPr>
        <w:ind w:firstLine="1620" w:firstLineChars="450"/>
        <w:rPr>
          <w:rFonts w:ascii="宋体" w:hAnsi="宋体" w:cs="宋体"/>
          <w:sz w:val="36"/>
          <w:szCs w:val="36"/>
        </w:rPr>
      </w:pPr>
    </w:p>
    <w:p>
      <w:pPr>
        <w:ind w:firstLine="1620" w:firstLineChars="450"/>
        <w:rPr>
          <w:rFonts w:ascii="宋体" w:hAnsi="宋体" w:cs="宋体"/>
          <w:sz w:val="36"/>
          <w:szCs w:val="36"/>
        </w:rPr>
      </w:pPr>
    </w:p>
    <w:p>
      <w:pPr>
        <w:ind w:firstLine="900" w:firstLineChars="250"/>
        <w:rPr>
          <w:rFonts w:ascii="宋体" w:hAnsi="宋体" w:cs="宋体"/>
          <w:sz w:val="32"/>
          <w:szCs w:val="32"/>
          <w:u w:val="single"/>
        </w:rPr>
      </w:pPr>
      <w:r>
        <w:rPr>
          <w:rFonts w:hint="eastAsia" w:ascii="宋体" w:hAnsi="宋体" w:cs="宋体"/>
          <w:sz w:val="36"/>
          <w:szCs w:val="36"/>
        </w:rPr>
        <w:t>项目名称：</w:t>
      </w:r>
      <w:r>
        <w:rPr>
          <w:rFonts w:hint="eastAsia" w:ascii="宋体" w:hAnsi="宋体" w:cs="宋体"/>
          <w:sz w:val="36"/>
          <w:szCs w:val="36"/>
          <w:u w:val="single"/>
        </w:rPr>
        <w:t xml:space="preserve"> </w:t>
      </w:r>
      <w:r>
        <w:rPr>
          <w:rFonts w:hint="eastAsia" w:ascii="宋体" w:hAnsi="宋体" w:cs="宋体"/>
          <w:sz w:val="36"/>
          <w:szCs w:val="36"/>
          <w:u w:val="single"/>
          <w:lang w:val="en-US" w:eastAsia="zh-CN"/>
        </w:rPr>
        <w:t xml:space="preserve"> </w:t>
      </w:r>
      <w:r>
        <w:rPr>
          <w:rFonts w:hint="eastAsia" w:ascii="宋体" w:hAnsi="宋体" w:cs="宋体"/>
          <w:sz w:val="32"/>
          <w:szCs w:val="32"/>
          <w:u w:val="single"/>
        </w:rPr>
        <w:t xml:space="preserve">2025年海南终身学习网推广与运营项目                   </w:t>
      </w:r>
    </w:p>
    <w:p>
      <w:pPr>
        <w:ind w:firstLine="1620" w:firstLineChars="450"/>
        <w:rPr>
          <w:rFonts w:ascii="宋体" w:hAnsi="宋体" w:cs="宋体"/>
          <w:sz w:val="36"/>
          <w:szCs w:val="36"/>
        </w:rPr>
      </w:pPr>
    </w:p>
    <w:p>
      <w:pPr>
        <w:ind w:firstLine="900" w:firstLineChars="250"/>
        <w:rPr>
          <w:rFonts w:ascii="宋体" w:hAnsi="宋体" w:cs="宋体"/>
          <w:sz w:val="36"/>
          <w:szCs w:val="36"/>
          <w:u w:val="single"/>
        </w:rPr>
      </w:pPr>
      <w:r>
        <w:rPr>
          <w:rFonts w:hint="eastAsia" w:ascii="宋体" w:hAnsi="宋体" w:cs="宋体"/>
          <w:sz w:val="36"/>
          <w:szCs w:val="36"/>
        </w:rPr>
        <w:t>项目单位：</w:t>
      </w:r>
      <w:r>
        <w:rPr>
          <w:rFonts w:hint="eastAsia" w:ascii="宋体" w:hAnsi="宋体" w:cs="宋体"/>
          <w:sz w:val="36"/>
          <w:szCs w:val="36"/>
          <w:u w:val="single"/>
        </w:rPr>
        <w:t xml:space="preserve">  </w:t>
      </w:r>
      <w:r>
        <w:rPr>
          <w:rFonts w:hint="eastAsia" w:ascii="宋体" w:hAnsi="宋体" w:cs="宋体"/>
          <w:sz w:val="36"/>
          <w:szCs w:val="36"/>
          <w:u w:val="single"/>
          <w:lang w:val="en-US" w:eastAsia="zh-CN"/>
        </w:rPr>
        <w:t xml:space="preserve">         </w:t>
      </w:r>
      <w:r>
        <w:rPr>
          <w:rFonts w:hint="eastAsia" w:ascii="宋体" w:hAnsi="宋体" w:cs="宋体"/>
          <w:sz w:val="36"/>
          <w:szCs w:val="36"/>
          <w:u w:val="single"/>
        </w:rPr>
        <w:t xml:space="preserve">海南开放大学                    </w:t>
      </w:r>
    </w:p>
    <w:p>
      <w:pPr>
        <w:ind w:firstLine="1620" w:firstLineChars="450"/>
        <w:rPr>
          <w:rFonts w:ascii="宋体" w:hAnsi="宋体" w:cs="宋体"/>
          <w:sz w:val="36"/>
          <w:szCs w:val="36"/>
        </w:rPr>
      </w:pPr>
    </w:p>
    <w:p>
      <w:pPr>
        <w:ind w:firstLine="900" w:firstLineChars="250"/>
        <w:rPr>
          <w:rFonts w:ascii="宋体" w:hAnsi="宋体" w:cs="宋体"/>
          <w:sz w:val="36"/>
          <w:szCs w:val="36"/>
          <w:u w:val="single"/>
        </w:rPr>
      </w:pPr>
      <w:r>
        <w:rPr>
          <w:rFonts w:hint="eastAsia" w:ascii="宋体" w:hAnsi="宋体" w:cs="宋体"/>
          <w:sz w:val="36"/>
          <w:szCs w:val="36"/>
        </w:rPr>
        <w:t>编制时间：</w:t>
      </w:r>
      <w:r>
        <w:rPr>
          <w:rFonts w:hint="eastAsia" w:ascii="宋体" w:hAnsi="宋体" w:cs="宋体"/>
          <w:sz w:val="36"/>
          <w:szCs w:val="36"/>
          <w:u w:val="single"/>
        </w:rPr>
        <w:t xml:space="preserve"> </w:t>
      </w:r>
      <w:r>
        <w:rPr>
          <w:rFonts w:hint="eastAsia" w:ascii="宋体" w:hAnsi="宋体" w:cs="宋体"/>
          <w:sz w:val="36"/>
          <w:szCs w:val="36"/>
          <w:u w:val="single"/>
          <w:lang w:val="en-US" w:eastAsia="zh-CN"/>
        </w:rPr>
        <w:t xml:space="preserve">       </w:t>
      </w:r>
      <w:r>
        <w:rPr>
          <w:rFonts w:hint="eastAsia" w:ascii="宋体" w:hAnsi="宋体" w:cs="宋体"/>
          <w:sz w:val="36"/>
          <w:szCs w:val="36"/>
          <w:u w:val="single"/>
        </w:rPr>
        <w:t>202</w:t>
      </w:r>
      <w:r>
        <w:rPr>
          <w:rFonts w:hint="eastAsia" w:ascii="宋体" w:hAnsi="宋体" w:cs="宋体"/>
          <w:sz w:val="36"/>
          <w:szCs w:val="36"/>
          <w:u w:val="single"/>
          <w:lang w:val="en-US" w:eastAsia="zh-CN"/>
        </w:rPr>
        <w:t>5</w:t>
      </w:r>
      <w:r>
        <w:rPr>
          <w:rFonts w:hint="eastAsia" w:ascii="宋体" w:hAnsi="宋体" w:cs="宋体"/>
          <w:sz w:val="36"/>
          <w:szCs w:val="36"/>
          <w:u w:val="single"/>
        </w:rPr>
        <w:t>年</w:t>
      </w:r>
      <w:r>
        <w:rPr>
          <w:rFonts w:hint="eastAsia" w:ascii="宋体" w:hAnsi="宋体" w:cs="宋体"/>
          <w:sz w:val="36"/>
          <w:szCs w:val="36"/>
          <w:u w:val="single"/>
          <w:lang w:val="en-US" w:eastAsia="zh-CN"/>
        </w:rPr>
        <w:t>10</w:t>
      </w:r>
      <w:r>
        <w:rPr>
          <w:rFonts w:hint="eastAsia" w:ascii="宋体" w:hAnsi="宋体" w:cs="宋体"/>
          <w:sz w:val="36"/>
          <w:szCs w:val="36"/>
          <w:u w:val="single"/>
        </w:rPr>
        <w:t>月</w:t>
      </w:r>
      <w:r>
        <w:rPr>
          <w:rFonts w:hint="eastAsia" w:ascii="宋体" w:hAnsi="宋体" w:cs="宋体"/>
          <w:sz w:val="36"/>
          <w:szCs w:val="36"/>
          <w:u w:val="single"/>
          <w:lang w:val="en-US" w:eastAsia="zh-CN"/>
        </w:rPr>
        <w:t>16</w:t>
      </w:r>
      <w:r>
        <w:rPr>
          <w:rFonts w:hint="eastAsia" w:ascii="宋体" w:hAnsi="宋体" w:cs="宋体"/>
          <w:sz w:val="36"/>
          <w:szCs w:val="36"/>
          <w:u w:val="single"/>
        </w:rPr>
        <w:t xml:space="preserve">日                  </w:t>
      </w:r>
    </w:p>
    <w:p>
      <w:pPr>
        <w:ind w:firstLine="1620" w:firstLineChars="450"/>
        <w:rPr>
          <w:rFonts w:ascii="宋体" w:hAnsi="宋体" w:cs="宋体"/>
          <w:sz w:val="36"/>
          <w:szCs w:val="36"/>
        </w:rPr>
      </w:pPr>
    </w:p>
    <w:p>
      <w:pPr>
        <w:rPr>
          <w:rFonts w:ascii="宋体" w:hAnsi="宋体" w:cs="宋体"/>
          <w:sz w:val="44"/>
          <w:szCs w:val="44"/>
        </w:rPr>
      </w:pPr>
    </w:p>
    <w:p>
      <w:pPr>
        <w:rPr>
          <w:rFonts w:ascii="宋体" w:hAnsi="宋体" w:cs="宋体"/>
          <w:sz w:val="44"/>
          <w:szCs w:val="44"/>
        </w:rPr>
        <w:sectPr>
          <w:footerReference r:id="rId3" w:type="default"/>
          <w:footerReference r:id="rId4" w:type="even"/>
          <w:pgSz w:w="11906" w:h="16838"/>
          <w:pgMar w:top="2098" w:right="1418" w:bottom="1985" w:left="1588" w:header="851" w:footer="992" w:gutter="0"/>
          <w:pgNumType w:start="1"/>
          <w:cols w:space="720" w:num="1"/>
          <w:docGrid w:type="lines" w:linePitch="312" w:charSpace="0"/>
        </w:sectPr>
      </w:pPr>
    </w:p>
    <w:p>
      <w:pPr>
        <w:widowControl/>
        <w:spacing w:line="440" w:lineRule="exact"/>
        <w:ind w:firstLine="640" w:firstLineChars="200"/>
        <w:jc w:val="left"/>
        <w:textAlignment w:val="center"/>
        <w:rPr>
          <w:rFonts w:ascii="黑体" w:hAnsi="黑体" w:eastAsia="黑体" w:cs="黑体"/>
          <w:kern w:val="0"/>
          <w:sz w:val="32"/>
          <w:szCs w:val="32"/>
        </w:rPr>
      </w:pPr>
      <w:r>
        <w:rPr>
          <w:rFonts w:hint="eastAsia" w:ascii="黑体" w:hAnsi="黑体" w:eastAsia="黑体" w:cs="黑体"/>
          <w:kern w:val="0"/>
          <w:sz w:val="32"/>
          <w:szCs w:val="32"/>
        </w:rPr>
        <w:t>一、需求清单</w:t>
      </w:r>
    </w:p>
    <w:p>
      <w:pPr>
        <w:widowControl/>
        <w:spacing w:line="440" w:lineRule="exact"/>
        <w:ind w:firstLine="640" w:firstLineChars="200"/>
        <w:jc w:val="left"/>
        <w:textAlignment w:val="center"/>
        <w:rPr>
          <w:rFonts w:ascii="楷体" w:hAnsi="楷体" w:eastAsia="楷体" w:cs="楷体"/>
          <w:kern w:val="0"/>
          <w:sz w:val="32"/>
          <w:szCs w:val="32"/>
        </w:rPr>
      </w:pPr>
      <w:r>
        <w:rPr>
          <w:rFonts w:hint="eastAsia" w:ascii="楷体" w:hAnsi="楷体" w:eastAsia="楷体" w:cs="楷体"/>
          <w:kern w:val="0"/>
          <w:sz w:val="32"/>
          <w:szCs w:val="32"/>
        </w:rPr>
        <w:t>（一）项目概况</w:t>
      </w:r>
    </w:p>
    <w:p>
      <w:pPr>
        <w:spacing w:line="580" w:lineRule="exact"/>
        <w:ind w:firstLine="640" w:firstLineChars="200"/>
        <w:rPr>
          <w:rFonts w:hint="eastAsia" w:ascii="仿宋_GB2312" w:hAnsi="宋体" w:eastAsia="仿宋_GB2312"/>
          <w:sz w:val="32"/>
          <w:szCs w:val="32"/>
        </w:rPr>
      </w:pPr>
      <w:r>
        <w:rPr>
          <w:rFonts w:hint="eastAsia" w:ascii="仿宋_GB2312" w:hAnsi="宋体" w:eastAsia="仿宋_GB2312"/>
          <w:sz w:val="32"/>
          <w:szCs w:val="32"/>
        </w:rPr>
        <w:t>在海南省教育厅的指导与支持下，“海南终身学习网”平台已完成建设并投入试运行。平台深度贯彻《2025年海南省社区（老年）教育工作要点》（琼教职成〔2025〕16号）文件精神，以“构建全民终身学习型社会”为核心使命，紧密对接海南自由贸易港建设需求，全面赋能社区教育与老年教育高质量发展。为充分发挥平台服务全民终身学习的功能，扩大社区教育社会影响力，海南开放大学于2024年启动海南终身学习网平台运营服务推广项目。本项目通过策划多层次、多类型的品牌推广活动，向全省各市县居民系统展示平台的优质资源与服务功能，有效提升平台使用率，丰富群众精神文化生活与学习路径，助力居民综合素质提升，扎实推进学习型社会与学习型大国建设。</w:t>
      </w:r>
    </w:p>
    <w:p>
      <w:pPr>
        <w:spacing w:line="580" w:lineRule="exact"/>
        <w:ind w:firstLine="640" w:firstLineChars="200"/>
        <w:rPr>
          <w:rFonts w:hint="eastAsia" w:ascii="仿宋_GB2312" w:hAnsi="宋体" w:eastAsia="仿宋_GB2312"/>
          <w:sz w:val="32"/>
          <w:szCs w:val="32"/>
        </w:rPr>
      </w:pPr>
      <w:r>
        <w:rPr>
          <w:rFonts w:hint="eastAsia" w:ascii="仿宋_GB2312" w:hAnsi="宋体" w:eastAsia="仿宋_GB2312"/>
          <w:sz w:val="32"/>
          <w:szCs w:val="32"/>
        </w:rPr>
        <w:t>为巩固2024年项目成果，进一步扩大平台服务覆盖面与社会影响力，海南开放大学拟于2025年开展海南终身学习网平台运营服务项目采购工作，持续推动终身学习生态体系的完善与创新。</w:t>
      </w:r>
    </w:p>
    <w:p>
      <w:pPr>
        <w:rPr>
          <w:rFonts w:ascii="宋体" w:hAnsi="宋体"/>
        </w:rPr>
      </w:pPr>
      <w:r>
        <w:rPr>
          <w:rFonts w:ascii="宋体" w:hAnsi="宋体"/>
        </w:rPr>
        <w:br w:type="page"/>
      </w:r>
    </w:p>
    <w:p>
      <w:pPr>
        <w:widowControl/>
        <w:spacing w:line="440" w:lineRule="exact"/>
        <w:jc w:val="left"/>
        <w:textAlignment w:val="center"/>
        <w:rPr>
          <w:rFonts w:ascii="楷体" w:hAnsi="楷体" w:eastAsia="楷体" w:cs="楷体"/>
          <w:kern w:val="0"/>
          <w:sz w:val="32"/>
          <w:szCs w:val="32"/>
        </w:rPr>
      </w:pPr>
      <w:r>
        <w:rPr>
          <w:rFonts w:hint="eastAsia" w:ascii="楷体" w:hAnsi="楷体" w:eastAsia="楷体" w:cs="楷体"/>
          <w:kern w:val="0"/>
          <w:sz w:val="32"/>
          <w:szCs w:val="32"/>
        </w:rPr>
        <w:t>（二）采购项目预（概）算、资金来源</w:t>
      </w:r>
    </w:p>
    <w:p>
      <w:pPr>
        <w:widowControl/>
        <w:spacing w:line="440" w:lineRule="exact"/>
        <w:ind w:firstLine="640" w:firstLineChars="200"/>
        <w:jc w:val="left"/>
        <w:textAlignment w:val="center"/>
        <w:rPr>
          <w:rFonts w:ascii="仿宋" w:hAnsi="仿宋" w:eastAsia="仿宋" w:cs="仿宋"/>
          <w:kern w:val="0"/>
          <w:sz w:val="32"/>
          <w:szCs w:val="32"/>
          <w:u w:val="single"/>
        </w:rPr>
      </w:pPr>
      <w:r>
        <w:rPr>
          <w:rFonts w:hint="eastAsia" w:ascii="仿宋" w:hAnsi="仿宋" w:eastAsia="仿宋" w:cs="仿宋"/>
          <w:kern w:val="0"/>
          <w:sz w:val="32"/>
          <w:szCs w:val="32"/>
        </w:rPr>
        <w:t>1.总 预 算：</w:t>
      </w:r>
      <w:r>
        <w:rPr>
          <w:rFonts w:hint="eastAsia" w:ascii="仿宋" w:hAnsi="仿宋" w:eastAsia="仿宋" w:cs="仿宋"/>
          <w:kern w:val="0"/>
          <w:sz w:val="32"/>
          <w:szCs w:val="32"/>
          <w:u w:val="single"/>
          <w:lang w:val="en-US" w:eastAsia="zh-CN"/>
        </w:rPr>
        <w:t xml:space="preserve"> 16.3 </w:t>
      </w:r>
      <w:r>
        <w:rPr>
          <w:rFonts w:hint="eastAsia" w:ascii="仿宋" w:hAnsi="仿宋" w:eastAsia="仿宋" w:cs="仿宋"/>
          <w:kern w:val="0"/>
          <w:sz w:val="32"/>
          <w:szCs w:val="32"/>
          <w:u w:val="single"/>
        </w:rPr>
        <w:t>万元</w:t>
      </w:r>
    </w:p>
    <w:p>
      <w:pPr>
        <w:widowControl/>
        <w:spacing w:line="440" w:lineRule="exact"/>
        <w:ind w:firstLine="640" w:firstLineChars="200"/>
        <w:jc w:val="left"/>
        <w:textAlignment w:val="center"/>
        <w:rPr>
          <w:rFonts w:hint="default" w:ascii="仿宋" w:hAnsi="仿宋" w:eastAsia="仿宋" w:cs="仿宋"/>
          <w:kern w:val="0"/>
          <w:sz w:val="32"/>
          <w:szCs w:val="32"/>
          <w:u w:val="single"/>
          <w:lang w:val="en-US" w:eastAsia="zh-CN"/>
        </w:rPr>
      </w:pPr>
      <w:r>
        <w:rPr>
          <w:rFonts w:hint="eastAsia" w:ascii="仿宋" w:hAnsi="仿宋" w:eastAsia="仿宋" w:cs="仿宋"/>
          <w:kern w:val="0"/>
          <w:sz w:val="32"/>
          <w:szCs w:val="32"/>
        </w:rPr>
        <w:t>2.资金来源：</w:t>
      </w:r>
      <w:r>
        <w:rPr>
          <w:rFonts w:hint="eastAsia" w:ascii="仿宋" w:hAnsi="仿宋" w:eastAsia="仿宋" w:cs="仿宋"/>
          <w:kern w:val="0"/>
          <w:sz w:val="32"/>
          <w:szCs w:val="32"/>
          <w:u w:val="single"/>
          <w:lang w:val="en-US" w:eastAsia="zh-CN"/>
        </w:rPr>
        <w:t xml:space="preserve"> 财政拨款   </w:t>
      </w:r>
    </w:p>
    <w:p>
      <w:pPr>
        <w:rPr>
          <w:rFonts w:asciiTheme="majorEastAsia" w:hAnsiTheme="majorEastAsia" w:eastAsiaTheme="majorEastAsia" w:cstheme="majorEastAsia"/>
          <w:szCs w:val="32"/>
        </w:rPr>
      </w:pPr>
    </w:p>
    <w:p>
      <w:pPr>
        <w:widowControl/>
        <w:spacing w:line="440" w:lineRule="exact"/>
        <w:jc w:val="left"/>
        <w:textAlignment w:val="center"/>
        <w:rPr>
          <w:rFonts w:ascii="楷体" w:hAnsi="楷体" w:eastAsia="楷体" w:cs="楷体"/>
          <w:kern w:val="0"/>
          <w:sz w:val="32"/>
          <w:szCs w:val="32"/>
        </w:rPr>
      </w:pPr>
      <w:r>
        <w:rPr>
          <w:rFonts w:hint="eastAsia" w:ascii="楷体" w:hAnsi="楷体" w:eastAsia="楷体" w:cs="楷体"/>
          <w:kern w:val="0"/>
          <w:sz w:val="32"/>
          <w:szCs w:val="32"/>
        </w:rPr>
        <w:t>（三）采购标的汇总表</w:t>
      </w:r>
    </w:p>
    <w:tbl>
      <w:tblPr>
        <w:tblStyle w:val="12"/>
        <w:tblW w:w="89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27"/>
        <w:gridCol w:w="3600"/>
        <w:gridCol w:w="3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2227" w:type="dxa"/>
            <w:shd w:val="clear" w:color="auto" w:fill="E0E0E0"/>
            <w:vAlign w:val="center"/>
          </w:tcPr>
          <w:p>
            <w:pPr>
              <w:spacing w:beforeLines="50" w:line="580" w:lineRule="exact"/>
              <w:jc w:val="center"/>
              <w:rPr>
                <w:rFonts w:ascii="仿宋_GB2312" w:eastAsia="仿宋_GB2312"/>
                <w:b/>
                <w:sz w:val="28"/>
                <w:szCs w:val="28"/>
              </w:rPr>
            </w:pPr>
            <w:r>
              <w:rPr>
                <w:rFonts w:hint="eastAsia" w:ascii="仿宋_GB2312" w:eastAsia="仿宋_GB2312"/>
                <w:b/>
                <w:sz w:val="28"/>
                <w:szCs w:val="28"/>
              </w:rPr>
              <w:t>服务范围</w:t>
            </w:r>
          </w:p>
        </w:tc>
        <w:tc>
          <w:tcPr>
            <w:tcW w:w="3600" w:type="dxa"/>
            <w:shd w:val="clear" w:color="auto" w:fill="E0E0E0"/>
            <w:vAlign w:val="center"/>
          </w:tcPr>
          <w:p>
            <w:pPr>
              <w:spacing w:beforeLines="50" w:line="580" w:lineRule="exact"/>
              <w:jc w:val="center"/>
              <w:rPr>
                <w:rFonts w:ascii="仿宋_GB2312" w:eastAsia="仿宋_GB2312"/>
                <w:b/>
                <w:sz w:val="28"/>
                <w:szCs w:val="28"/>
              </w:rPr>
            </w:pPr>
            <w:r>
              <w:rPr>
                <w:rFonts w:hint="eastAsia" w:ascii="仿宋_GB2312" w:eastAsia="仿宋_GB2312"/>
                <w:b/>
                <w:sz w:val="28"/>
                <w:szCs w:val="28"/>
              </w:rPr>
              <w:t>服务内容</w:t>
            </w:r>
          </w:p>
        </w:tc>
        <w:tc>
          <w:tcPr>
            <w:tcW w:w="3120" w:type="dxa"/>
            <w:shd w:val="clear" w:color="auto" w:fill="E0E0E0"/>
            <w:vAlign w:val="center"/>
          </w:tcPr>
          <w:p>
            <w:pPr>
              <w:spacing w:beforeLines="50" w:line="580" w:lineRule="exact"/>
              <w:jc w:val="center"/>
              <w:rPr>
                <w:rFonts w:ascii="仿宋_GB2312" w:eastAsia="仿宋_GB2312"/>
                <w:b/>
                <w:sz w:val="28"/>
                <w:szCs w:val="28"/>
              </w:rPr>
            </w:pPr>
            <w:r>
              <w:rPr>
                <w:rFonts w:hint="eastAsia" w:ascii="仿宋_GB2312" w:eastAsia="仿宋_GB2312"/>
                <w:b/>
                <w:sz w:val="28"/>
                <w:szCs w:val="28"/>
              </w:rPr>
              <w:t>服务方式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560" w:firstLineChars="200"/>
              <w:rPr>
                <w:rFonts w:hint="default" w:ascii="仿宋_GB2312" w:eastAsia="仿宋_GB2312"/>
                <w:sz w:val="28"/>
                <w:szCs w:val="28"/>
                <w:lang w:val="en-US" w:eastAsia="zh-CN"/>
              </w:rPr>
            </w:pPr>
            <w:r>
              <w:rPr>
                <w:rFonts w:hint="eastAsia" w:ascii="仿宋_GB2312" w:eastAsia="仿宋_GB2312"/>
                <w:sz w:val="28"/>
                <w:szCs w:val="28"/>
                <w:lang w:val="en-US" w:eastAsia="zh-CN"/>
              </w:rPr>
              <w:t>海南各市县社区教育学院海南终身学习网平台管理员培训</w:t>
            </w:r>
          </w:p>
        </w:tc>
        <w:tc>
          <w:tcPr>
            <w:tcW w:w="3600" w:type="dxa"/>
            <w:vAlign w:val="center"/>
          </w:tcPr>
          <w:p>
            <w:pPr>
              <w:spacing w:line="500" w:lineRule="exact"/>
              <w:ind w:firstLine="560" w:firstLineChars="200"/>
              <w:rPr>
                <w:rFonts w:hint="eastAsia"/>
                <w:lang w:val="en-US" w:eastAsia="zh-CN"/>
              </w:rPr>
            </w:pPr>
            <w:r>
              <w:rPr>
                <w:rFonts w:hint="eastAsia" w:ascii="仿宋_GB2312" w:eastAsia="仿宋_GB2312"/>
                <w:sz w:val="28"/>
                <w:szCs w:val="28"/>
              </w:rPr>
              <w:t>合同服务期内，针对海南省全省社区教育学院海南终身学习网管理员，通过线上或线下混合教学的形式，提供不少于</w:t>
            </w:r>
            <w:r>
              <w:rPr>
                <w:rFonts w:hint="eastAsia" w:ascii="仿宋_GB2312" w:eastAsia="仿宋_GB2312"/>
                <w:sz w:val="28"/>
                <w:szCs w:val="28"/>
                <w:lang w:val="en-US" w:eastAsia="zh-CN"/>
              </w:rPr>
              <w:t>1</w:t>
            </w:r>
            <w:r>
              <w:rPr>
                <w:rFonts w:hint="eastAsia" w:ascii="仿宋_GB2312" w:eastAsia="仿宋_GB2312"/>
                <w:sz w:val="28"/>
                <w:szCs w:val="28"/>
              </w:rPr>
              <w:t>场平台运营培训会议；确保各市县管理员能熟练使用海南终身学习网平台；各市县海南终身学习网管理员遇到功能使用问题时，应在24小时内响应协助解决，如有必要将到现场进行指导；</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线上培训或到现场进行技术支持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560" w:firstLineChars="200"/>
              <w:rPr>
                <w:rFonts w:hint="default" w:ascii="仿宋_GB2312" w:eastAsia="仿宋_GB2312"/>
                <w:sz w:val="28"/>
                <w:szCs w:val="28"/>
                <w:lang w:val="en-US" w:eastAsia="zh-CN"/>
              </w:rPr>
            </w:pPr>
            <w:r>
              <w:rPr>
                <w:rFonts w:hint="eastAsia" w:ascii="仿宋_GB2312" w:eastAsia="仿宋_GB2312"/>
                <w:sz w:val="28"/>
                <w:szCs w:val="28"/>
                <w:lang w:val="en-US" w:eastAsia="zh-CN"/>
              </w:rPr>
              <w:t>海南终身学习网推广活动</w:t>
            </w:r>
          </w:p>
        </w:tc>
        <w:tc>
          <w:tcPr>
            <w:tcW w:w="3600" w:type="dxa"/>
            <w:vAlign w:val="center"/>
          </w:tcPr>
          <w:p>
            <w:pPr>
              <w:spacing w:line="500" w:lineRule="exact"/>
              <w:ind w:firstLine="560" w:firstLineChars="200"/>
              <w:rPr>
                <w:rFonts w:ascii="仿宋_GB2312" w:eastAsia="仿宋_GB2312"/>
                <w:sz w:val="28"/>
                <w:szCs w:val="28"/>
              </w:rPr>
            </w:pPr>
            <w:r>
              <w:rPr>
                <w:rFonts w:hint="eastAsia" w:ascii="仿宋_GB2312" w:eastAsia="仿宋_GB2312"/>
                <w:sz w:val="28"/>
                <w:szCs w:val="28"/>
              </w:rPr>
              <w:t>在海南各市县开展10场海南终身学习网推广活动以及2场省级推广活动，活动形式可分为线上或线下，供应商应抓住各重大节日的契机，如端午节、重阳节、世界读书日等节日，开展社区居民文化活动，提高海南终身学习网使用率，及扩大海南终身学习网平台影响力</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开展线下活动或使用相应的系统如活动引擎、直播引擎等开展活动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560" w:firstLineChars="200"/>
              <w:rPr>
                <w:rFonts w:hint="default" w:ascii="仿宋_GB2312" w:eastAsia="仿宋_GB2312"/>
                <w:sz w:val="28"/>
                <w:szCs w:val="28"/>
                <w:lang w:val="en-US" w:eastAsia="zh-CN"/>
              </w:rPr>
            </w:pPr>
            <w:r>
              <w:rPr>
                <w:rFonts w:hint="eastAsia" w:ascii="仿宋_GB2312" w:eastAsia="仿宋_GB2312"/>
                <w:sz w:val="28"/>
                <w:szCs w:val="28"/>
                <w:lang w:val="en-US" w:eastAsia="zh-CN"/>
              </w:rPr>
              <w:t>课程活动报名媒体推送</w:t>
            </w:r>
          </w:p>
        </w:tc>
        <w:tc>
          <w:tcPr>
            <w:tcW w:w="3600" w:type="dxa"/>
            <w:vAlign w:val="center"/>
          </w:tcPr>
          <w:p>
            <w:pPr>
              <w:spacing w:line="500" w:lineRule="exact"/>
              <w:ind w:firstLine="560" w:firstLineChars="200"/>
              <w:rPr>
                <w:rFonts w:ascii="仿宋_GB2312" w:eastAsia="仿宋_GB2312"/>
                <w:sz w:val="28"/>
                <w:szCs w:val="28"/>
              </w:rPr>
            </w:pPr>
            <w:r>
              <w:rPr>
                <w:rFonts w:hint="eastAsia" w:ascii="仿宋_GB2312" w:eastAsia="仿宋_GB2312"/>
                <w:sz w:val="28"/>
                <w:szCs w:val="28"/>
              </w:rPr>
              <w:t>针对海南开放大学社区教育学院招生报名活动进行</w:t>
            </w:r>
            <w:r>
              <w:rPr>
                <w:rFonts w:hint="eastAsia" w:ascii="仿宋_GB2312" w:eastAsia="仿宋_GB2312"/>
                <w:sz w:val="28"/>
                <w:szCs w:val="28"/>
                <w:lang w:val="en-US" w:eastAsia="zh-CN"/>
              </w:rPr>
              <w:t>1</w:t>
            </w:r>
            <w:r>
              <w:rPr>
                <w:rFonts w:hint="eastAsia" w:ascii="仿宋_GB2312" w:eastAsia="仿宋_GB2312"/>
                <w:sz w:val="28"/>
                <w:szCs w:val="28"/>
              </w:rPr>
              <w:t>次媒体推送宣传，提高海南开放大学社区教育学院课程的知名度；</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与主流媒体合作推送报名资讯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280" w:firstLineChars="100"/>
              <w:rPr>
                <w:rFonts w:hint="default" w:ascii="仿宋_GB2312" w:eastAsia="仿宋_GB2312"/>
                <w:sz w:val="28"/>
                <w:szCs w:val="28"/>
                <w:lang w:val="en-US" w:eastAsia="zh-CN"/>
              </w:rPr>
            </w:pPr>
            <w:r>
              <w:rPr>
                <w:rFonts w:hint="eastAsia" w:ascii="仿宋_GB2312" w:eastAsia="仿宋_GB2312"/>
                <w:sz w:val="28"/>
                <w:szCs w:val="28"/>
                <w:lang w:val="en-US" w:eastAsia="zh-CN"/>
              </w:rPr>
              <w:t>协助升级平台</w:t>
            </w:r>
          </w:p>
        </w:tc>
        <w:tc>
          <w:tcPr>
            <w:tcW w:w="3600" w:type="dxa"/>
            <w:vAlign w:val="center"/>
          </w:tcPr>
          <w:p>
            <w:pPr>
              <w:pStyle w:val="2"/>
              <w:keepNext/>
              <w:keepLines/>
              <w:pageBreakBefore w:val="0"/>
              <w:widowControl w:val="0"/>
              <w:kinsoku/>
              <w:wordWrap/>
              <w:overflowPunct/>
              <w:topLinePunct w:val="0"/>
              <w:autoSpaceDE/>
              <w:autoSpaceDN/>
              <w:bidi w:val="0"/>
              <w:adjustRightInd/>
              <w:snapToGrid/>
              <w:spacing w:line="500" w:lineRule="exact"/>
              <w:ind w:firstLine="560" w:firstLineChars="200"/>
              <w:textAlignment w:val="auto"/>
              <w:rPr>
                <w:rFonts w:hint="default"/>
                <w:lang w:val="en-US"/>
              </w:rPr>
            </w:pPr>
            <w:r>
              <w:rPr>
                <w:rFonts w:hint="eastAsia" w:ascii="仿宋_GB2312" w:hAnsi="Calibri" w:eastAsia="仿宋_GB2312" w:cs="Times New Roman"/>
                <w:b w:val="0"/>
                <w:bCs w:val="0"/>
                <w:kern w:val="2"/>
                <w:sz w:val="28"/>
                <w:szCs w:val="28"/>
                <w:lang w:val="en-US" w:eastAsia="zh-CN" w:bidi="ar-SA"/>
              </w:rPr>
              <w:t>协助海南开放大学处理海南终身学习网平台功能问题，针对平台较为落后、不够便捷的功能提出整改方案，对于较为严重的功能问题，如网站崩溃、资源无法上传等问题，应及时向海南开放大学反馈，向该平台建设单位发出整改报告</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根据各市县平台管理员使用情况反馈进行问题整理，向该平台建设单位提出升级报告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280" w:firstLineChars="100"/>
              <w:rPr>
                <w:rFonts w:hint="default" w:ascii="仿宋_GB2312" w:eastAsia="仿宋_GB2312"/>
                <w:sz w:val="28"/>
                <w:szCs w:val="28"/>
                <w:lang w:val="en-US" w:eastAsia="zh-CN"/>
              </w:rPr>
            </w:pPr>
            <w:r>
              <w:rPr>
                <w:rFonts w:hint="eastAsia" w:ascii="仿宋_GB2312" w:eastAsia="仿宋_GB2312"/>
                <w:sz w:val="28"/>
                <w:szCs w:val="28"/>
                <w:lang w:val="en-US" w:eastAsia="zh-CN"/>
              </w:rPr>
              <w:t>协助账号管理</w:t>
            </w:r>
          </w:p>
        </w:tc>
        <w:tc>
          <w:tcPr>
            <w:tcW w:w="3600" w:type="dxa"/>
            <w:vAlign w:val="center"/>
          </w:tcPr>
          <w:p>
            <w:pPr>
              <w:spacing w:line="500" w:lineRule="exact"/>
              <w:ind w:firstLine="560" w:firstLineChars="200"/>
              <w:rPr>
                <w:rFonts w:ascii="仿宋_GB2312" w:eastAsia="仿宋_GB2312"/>
                <w:sz w:val="28"/>
                <w:szCs w:val="28"/>
              </w:rPr>
            </w:pPr>
            <w:r>
              <w:rPr>
                <w:rFonts w:hint="eastAsia" w:ascii="仿宋_GB2312" w:eastAsia="仿宋_GB2312"/>
                <w:sz w:val="28"/>
                <w:szCs w:val="28"/>
              </w:rPr>
              <w:t>协助做好各市县海南终身学习网管理员的账号管理工作，确保海南终身学习网平台各市县管理人员账号能正常使用，如有平台管理员变更应及时上报并提醒管理员做好账号交接工作</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不定期进行账号审查，及时做好管理员账号交接工作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280" w:firstLineChars="100"/>
              <w:rPr>
                <w:rFonts w:ascii="仿宋_GB2312" w:eastAsia="仿宋_GB2312"/>
                <w:sz w:val="28"/>
                <w:szCs w:val="28"/>
              </w:rPr>
            </w:pPr>
            <w:r>
              <w:rPr>
                <w:rFonts w:hint="eastAsia" w:ascii="仿宋_GB2312" w:eastAsia="仿宋_GB2312"/>
                <w:sz w:val="28"/>
                <w:szCs w:val="28"/>
                <w:lang w:val="en-US" w:eastAsia="zh-CN"/>
              </w:rPr>
              <w:t>资源</w:t>
            </w:r>
            <w:r>
              <w:rPr>
                <w:rFonts w:hint="eastAsia" w:ascii="仿宋_GB2312" w:eastAsia="仿宋_GB2312"/>
                <w:sz w:val="28"/>
                <w:szCs w:val="28"/>
              </w:rPr>
              <w:t>管理</w:t>
            </w:r>
          </w:p>
        </w:tc>
        <w:tc>
          <w:tcPr>
            <w:tcW w:w="3600" w:type="dxa"/>
            <w:vAlign w:val="center"/>
          </w:tcPr>
          <w:p>
            <w:pPr>
              <w:spacing w:line="500" w:lineRule="exact"/>
              <w:ind w:firstLine="560" w:firstLineChars="200"/>
              <w:rPr>
                <w:rFonts w:ascii="仿宋_GB2312" w:eastAsia="仿宋_GB2312"/>
                <w:sz w:val="28"/>
                <w:szCs w:val="28"/>
              </w:rPr>
            </w:pPr>
            <w:r>
              <w:rPr>
                <w:rFonts w:hint="eastAsia" w:ascii="仿宋_GB2312" w:eastAsia="仿宋_GB2312"/>
                <w:sz w:val="28"/>
                <w:szCs w:val="28"/>
              </w:rPr>
              <w:t>协助海南开放大学管理海南终身学习网平台的内部资源，包括各市县上传的新闻资讯，开放大学开展的校内活动、线上课程资源、师</w:t>
            </w:r>
            <w:r>
              <w:rPr>
                <w:rFonts w:hint="eastAsia" w:ascii="仿宋_GB2312" w:eastAsia="仿宋_GB2312"/>
                <w:sz w:val="28"/>
                <w:szCs w:val="28"/>
                <w:lang w:val="en-US" w:eastAsia="zh-CN"/>
              </w:rPr>
              <w:t xml:space="preserve"> </w:t>
            </w:r>
            <w:r>
              <w:rPr>
                <w:rFonts w:hint="eastAsia" w:ascii="仿宋_GB2312" w:eastAsia="仿宋_GB2312"/>
                <w:sz w:val="28"/>
                <w:szCs w:val="28"/>
              </w:rPr>
              <w:t>生风采等内容；上传的内容需做到格式统一，内容精美，上传的资源需进行细致审核，确保资讯内容无意识形态问题，如遇到以上问题，需及时上报海南开放大学，进行下架等操作，避免恶劣影响进一步扩大，做好相应问题记录，并提供整改方案。</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及时上传海南开放大学活动资讯，审核各市县上传的资讯内容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7" w:type="dxa"/>
            <w:vAlign w:val="center"/>
          </w:tcPr>
          <w:p>
            <w:pPr>
              <w:spacing w:line="500" w:lineRule="exact"/>
              <w:ind w:firstLine="280" w:firstLineChars="100"/>
              <w:rPr>
                <w:rFonts w:hint="default" w:ascii="仿宋_GB2312" w:eastAsia="仿宋_GB2312"/>
                <w:sz w:val="28"/>
                <w:szCs w:val="28"/>
                <w:lang w:val="en-US" w:eastAsia="zh-CN"/>
              </w:rPr>
            </w:pPr>
            <w:r>
              <w:rPr>
                <w:rFonts w:hint="eastAsia" w:ascii="仿宋_GB2312" w:eastAsia="仿宋_GB2312"/>
                <w:sz w:val="28"/>
                <w:szCs w:val="28"/>
                <w:lang w:val="en-US" w:eastAsia="zh-CN"/>
              </w:rPr>
              <w:t>活动系统支持</w:t>
            </w:r>
          </w:p>
        </w:tc>
        <w:tc>
          <w:tcPr>
            <w:tcW w:w="3600" w:type="dxa"/>
            <w:vAlign w:val="center"/>
          </w:tcPr>
          <w:p>
            <w:pPr>
              <w:spacing w:line="500" w:lineRule="exact"/>
              <w:ind w:firstLine="560" w:firstLineChars="200"/>
              <w:rPr>
                <w:rFonts w:ascii="仿宋_GB2312" w:eastAsia="仿宋_GB2312"/>
                <w:sz w:val="28"/>
                <w:szCs w:val="28"/>
              </w:rPr>
            </w:pPr>
            <w:r>
              <w:rPr>
                <w:rFonts w:hint="eastAsia" w:ascii="仿宋_GB2312" w:eastAsia="仿宋_GB2312"/>
                <w:sz w:val="28"/>
                <w:szCs w:val="28"/>
              </w:rPr>
              <w:t>提供可支持海南终身学习网开展相应活动的活动系统及相关证书材料，包括：微服务平台、直播引擎、社区教育应用管理系统、网络教育平台运营服务等。</w:t>
            </w:r>
          </w:p>
        </w:tc>
        <w:tc>
          <w:tcPr>
            <w:tcW w:w="3120" w:type="dxa"/>
            <w:vAlign w:val="center"/>
          </w:tcPr>
          <w:p>
            <w:pPr>
              <w:spacing w:line="50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提供先进的活动系统支持海南终身学习网运营开展线上活动</w:t>
            </w:r>
          </w:p>
        </w:tc>
      </w:tr>
    </w:tbl>
    <w:p>
      <w:pPr>
        <w:pStyle w:val="9"/>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 xml:space="preserve"> </w:t>
      </w:r>
    </w:p>
    <w:p>
      <w:pPr>
        <w:widowControl/>
        <w:numPr>
          <w:ilvl w:val="0"/>
          <w:numId w:val="0"/>
        </w:numPr>
        <w:spacing w:line="440" w:lineRule="exact"/>
        <w:ind w:firstLine="320" w:firstLineChars="100"/>
        <w:jc w:val="left"/>
        <w:textAlignment w:val="center"/>
        <w:rPr>
          <w:rFonts w:hint="eastAsia" w:ascii="仿宋" w:hAnsi="仿宋" w:eastAsia="仿宋" w:cs="仿宋"/>
          <w:kern w:val="0"/>
          <w:sz w:val="32"/>
          <w:szCs w:val="32"/>
        </w:rPr>
      </w:pPr>
      <w:r>
        <w:rPr>
          <w:rFonts w:hint="eastAsia" w:ascii="仿宋" w:hAnsi="仿宋" w:eastAsia="仿宋" w:cs="仿宋"/>
          <w:kern w:val="0"/>
          <w:sz w:val="32"/>
          <w:szCs w:val="32"/>
          <w:lang w:eastAsia="zh-CN"/>
        </w:rPr>
        <w:t>（</w:t>
      </w:r>
      <w:r>
        <w:rPr>
          <w:rFonts w:hint="eastAsia" w:ascii="仿宋" w:hAnsi="仿宋" w:eastAsia="仿宋" w:cs="仿宋"/>
          <w:kern w:val="0"/>
          <w:sz w:val="32"/>
          <w:szCs w:val="32"/>
          <w:lang w:val="en-US" w:eastAsia="zh-CN"/>
        </w:rPr>
        <w:t>四</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项目包的技术、商务要求（带“</w:t>
      </w:r>
      <w:r>
        <w:rPr>
          <w:rFonts w:hint="eastAsia" w:ascii="仿宋" w:hAnsi="仿宋" w:eastAsia="仿宋" w:cs="仿宋"/>
          <w:kern w:val="0"/>
          <w:sz w:val="32"/>
          <w:szCs w:val="32"/>
        </w:rPr>
        <w:sym w:font="Wingdings" w:char="F0AB"/>
      </w:r>
      <w:r>
        <w:rPr>
          <w:rFonts w:hint="eastAsia" w:ascii="仿宋" w:hAnsi="仿宋" w:eastAsia="仿宋" w:cs="仿宋"/>
          <w:kern w:val="0"/>
          <w:sz w:val="32"/>
          <w:szCs w:val="32"/>
        </w:rPr>
        <w:t>”条款为实质性条款，必须完全响应，不允许负偏离，否则作无效响应处理。）</w:t>
      </w:r>
    </w:p>
    <w:p>
      <w:pPr>
        <w:widowControl/>
        <w:spacing w:line="440" w:lineRule="exact"/>
        <w:ind w:firstLine="320" w:firstLineChars="100"/>
        <w:jc w:val="left"/>
        <w:textAlignment w:val="center"/>
        <w:rPr>
          <w:rFonts w:ascii="仿宋" w:hAnsi="仿宋" w:eastAsia="仿宋" w:cs="仿宋"/>
          <w:kern w:val="0"/>
          <w:sz w:val="32"/>
          <w:szCs w:val="32"/>
        </w:rPr>
      </w:pPr>
      <w:r>
        <w:rPr>
          <w:rFonts w:hint="eastAsia" w:ascii="仿宋" w:hAnsi="仿宋" w:eastAsia="仿宋" w:cs="仿宋"/>
          <w:kern w:val="0"/>
          <w:sz w:val="32"/>
          <w:szCs w:val="32"/>
        </w:rPr>
        <w:t>1.</w:t>
      </w:r>
      <w:r>
        <w:rPr>
          <w:rFonts w:hint="eastAsia" w:ascii="仿宋_GB2312" w:hAnsi="宋体" w:eastAsia="仿宋_GB2312" w:cs="宋体"/>
          <w:b/>
          <w:bCs/>
          <w:kern w:val="0"/>
          <w:sz w:val="28"/>
          <w:szCs w:val="28"/>
        </w:rPr>
        <w:t>★</w:t>
      </w:r>
      <w:r>
        <w:rPr>
          <w:rFonts w:hint="eastAsia" w:ascii="仿宋" w:hAnsi="仿宋" w:eastAsia="仿宋" w:cs="仿宋"/>
          <w:kern w:val="0"/>
          <w:sz w:val="32"/>
          <w:szCs w:val="32"/>
        </w:rPr>
        <w:t>技术要求</w:t>
      </w:r>
    </w:p>
    <w:tbl>
      <w:tblPr>
        <w:tblStyle w:val="1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rPr>
        <w:tc>
          <w:tcPr>
            <w:tcW w:w="5000" w:type="pct"/>
          </w:tcPr>
          <w:p>
            <w:pPr>
              <w:widowControl/>
              <w:adjustRightInd w:val="0"/>
              <w:snapToGrid w:val="0"/>
              <w:spacing w:line="580" w:lineRule="exact"/>
              <w:jc w:val="center"/>
              <w:rPr>
                <w:rFonts w:ascii="仿宋_GB2312" w:hAnsi="宋体" w:eastAsia="仿宋_GB2312"/>
                <w:b/>
                <w:bCs/>
                <w:kern w:val="0"/>
                <w:sz w:val="28"/>
                <w:szCs w:val="28"/>
              </w:rPr>
            </w:pPr>
            <w:r>
              <w:rPr>
                <w:rFonts w:hint="eastAsia" w:ascii="仿宋_GB2312" w:hAnsi="宋体" w:eastAsia="仿宋_GB2312"/>
                <w:b/>
                <w:kern w:val="0"/>
                <w:sz w:val="28"/>
                <w:szCs w:val="28"/>
              </w:rPr>
              <w:t>技术参数/功能描述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★服务体系需求：</w:t>
            </w:r>
          </w:p>
          <w:p>
            <w:pPr>
              <w:widowControl/>
              <w:adjustRightInd w:val="0"/>
              <w:snapToGrid w:val="0"/>
              <w:spacing w:line="580" w:lineRule="exact"/>
              <w:ind w:firstLine="560" w:firstLineChars="200"/>
              <w:jc w:val="left"/>
            </w:pPr>
            <w:r>
              <w:rPr>
                <w:rFonts w:hint="eastAsia" w:ascii="仿宋_GB2312" w:hAnsi="宋体" w:eastAsia="仿宋_GB2312"/>
                <w:kern w:val="0"/>
                <w:sz w:val="28"/>
                <w:szCs w:val="28"/>
              </w:rPr>
              <w:t>承诺提供1小时内响应的平台运维支持服务。日常维护由</w:t>
            </w:r>
            <w:r>
              <w:rPr>
                <w:rFonts w:hint="eastAsia" w:ascii="仿宋_GB2312" w:hAnsi="宋体" w:eastAsia="仿宋_GB2312"/>
                <w:kern w:val="0"/>
                <w:sz w:val="28"/>
                <w:szCs w:val="28"/>
                <w:lang w:val="en-US" w:eastAsia="zh-CN"/>
              </w:rPr>
              <w:t>专</w:t>
            </w:r>
            <w:r>
              <w:rPr>
                <w:rFonts w:hint="eastAsia" w:ascii="仿宋_GB2312" w:hAnsi="宋体" w:eastAsia="仿宋_GB2312"/>
                <w:kern w:val="0"/>
                <w:sz w:val="28"/>
                <w:szCs w:val="28"/>
              </w:rPr>
              <w:t>人负责；若遇重大事故，将立即增派资深技术专家处理。服务采用一线、二线、支持的三级梯队模式，逐级保障服务质量。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rPr>
              <w:t>海南各市县社区教育学院海南终身学习网平台管理员培训服务需求:</w:t>
            </w:r>
          </w:p>
          <w:p>
            <w:pPr>
              <w:widowControl/>
              <w:adjustRightInd w:val="0"/>
              <w:snapToGrid w:val="0"/>
              <w:spacing w:line="580" w:lineRule="exact"/>
              <w:ind w:firstLine="560" w:firstLineChars="200"/>
              <w:jc w:val="left"/>
              <w:rPr>
                <w:rFonts w:ascii="仿宋_GB2312" w:hAnsi="宋体" w:eastAsia="仿宋_GB2312"/>
                <w:kern w:val="0"/>
                <w:sz w:val="28"/>
                <w:szCs w:val="28"/>
              </w:rPr>
            </w:pPr>
            <w:r>
              <w:rPr>
                <w:rFonts w:hint="eastAsia" w:ascii="仿宋_GB2312" w:hAnsi="宋体" w:eastAsia="仿宋_GB2312"/>
                <w:kern w:val="0"/>
                <w:sz w:val="28"/>
                <w:szCs w:val="28"/>
              </w:rPr>
              <w:t>各市县海南终身学习网管理员遇到功能使用问题时，应在24小时内响应协助解决，如有必要将到现场进行指导</w:t>
            </w:r>
            <w:r>
              <w:rPr>
                <w:rFonts w:hint="eastAsia" w:ascii="仿宋_GB2312" w:hAnsi="宋体" w:eastAsia="仿宋_GB2312"/>
                <w:kern w:val="0"/>
                <w:sz w:val="28"/>
                <w:szCs w:val="28"/>
                <w:lang w:eastAsia="zh-CN"/>
              </w:rPr>
              <w:t>，</w:t>
            </w:r>
            <w:r>
              <w:rPr>
                <w:rFonts w:hint="eastAsia" w:ascii="仿宋_GB2312" w:hAnsi="宋体" w:eastAsia="仿宋_GB2312"/>
                <w:kern w:val="0"/>
                <w:sz w:val="28"/>
                <w:szCs w:val="28"/>
              </w:rPr>
              <w:t>承诺按照要求完成下述工作：</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网站人员管理；</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网站横幅管理；</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资讯管理；</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课件管理；</w:t>
            </w:r>
          </w:p>
          <w:p>
            <w:pPr>
              <w:widowControl/>
              <w:adjustRightInd w:val="0"/>
              <w:snapToGrid w:val="0"/>
              <w:spacing w:line="580" w:lineRule="exact"/>
              <w:ind w:firstLine="560" w:firstLineChars="200"/>
              <w:jc w:val="left"/>
              <w:rPr>
                <w:rFonts w:ascii="仿宋_GB2312" w:hAnsi="宋体" w:eastAsia="仿宋_GB2312"/>
                <w:bCs/>
                <w:kern w:val="0"/>
                <w:sz w:val="28"/>
                <w:szCs w:val="28"/>
              </w:rPr>
            </w:pPr>
            <w:r>
              <w:rPr>
                <w:rFonts w:hint="eastAsia" w:ascii="仿宋_GB2312" w:hAnsi="宋体" w:eastAsia="仿宋_GB2312"/>
                <w:kern w:val="0"/>
                <w:sz w:val="28"/>
                <w:szCs w:val="28"/>
                <w:lang w:val="en-US" w:eastAsia="zh-CN"/>
              </w:rPr>
              <w:t>活动管理；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rPr>
              <w:t>海南终身学习网推广活动服务需求:</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1.活动策划：</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开展10场老年社区教育服务推广活动（线上或线下）,老年社区教育服务推广活动主要类型包含：线上征集、知识竞答、书法比赛、拼图游戏、云献礼、绘画比赛、太极拳展演、图书共读打卡、劳动节—苗族（刺绣、挑花等）手工大会、基层文艺创作展等。</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2.活动形式：</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default" w:ascii="仿宋_GB2312" w:hAnsi="宋体" w:eastAsia="仿宋_GB2312"/>
                <w:kern w:val="0"/>
                <w:sz w:val="28"/>
                <w:szCs w:val="28"/>
                <w:lang w:val="en-US" w:eastAsia="zh-CN"/>
              </w:rPr>
              <w:t>活动方案要注重活动的互动性和参与性，以吸引更多的老年社区教育群众参与。能够根据各县市老年社区教育场地、年龄、文化背景和兴趣等因素，选择合适的内容和形式开展线下或线上活动，以满足不同老年社区教育群众的需求。</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3.活动宣传和推广</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设计和编辑活动相关的宣传图文、海报，将有关素材剪辑制作成专题视频，通过多种渠道宣传和推广线下或线上服务活动，包括各县市老年社区教育内的宣传、社交媒体推广等。在宣传过程中，要确保活动信息发布的准确性和及时性，让群众了解活动的具体情况和时间地点。</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4.活动组织和执行：制定详细的活动方案和流程，明确活动环节的责任人、责任事项、时间节点等。在活动执行过程中，要注重协调和沟通，确保活动的顺利进行。</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5.活动的拍摄和记录：具备专业的摄影摄像团队，拍摄活动开展时的照片和视频，用于活动的宣传、活动记录以及后续的回顾和分享。这些照片和视频需要展示活动的场景、参与人员、活动过程等，并确保照片和视频的质量和效果。</w:t>
            </w:r>
          </w:p>
          <w:p>
            <w:pPr>
              <w:widowControl/>
              <w:adjustRightInd w:val="0"/>
              <w:snapToGrid w:val="0"/>
              <w:spacing w:line="580" w:lineRule="exact"/>
              <w:ind w:firstLine="560" w:firstLineChars="200"/>
              <w:jc w:val="left"/>
              <w:rPr>
                <w:rFonts w:ascii="仿宋_GB2312" w:hAnsi="宋体" w:eastAsia="仿宋_GB2312"/>
                <w:bCs/>
                <w:kern w:val="0"/>
                <w:sz w:val="28"/>
                <w:szCs w:val="28"/>
              </w:rPr>
            </w:pPr>
            <w:r>
              <w:rPr>
                <w:rFonts w:hint="eastAsia" w:ascii="仿宋_GB2312" w:hAnsi="宋体" w:eastAsia="仿宋_GB2312"/>
                <w:kern w:val="0"/>
                <w:sz w:val="28"/>
                <w:szCs w:val="28"/>
                <w:lang w:val="en-US" w:eastAsia="zh-CN"/>
              </w:rPr>
              <w:t>6.活动资料：保管好所有涉及活动全过程，例如策划、宣传、执行、总结、终验等环节的资料和文档。活动完成后，项目验收前，所有活动资料提交给海南开放大学备案。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rPr>
              <w:t>课程活动报名媒体推送服务需求：</w:t>
            </w:r>
          </w:p>
          <w:p>
            <w:pPr>
              <w:widowControl/>
              <w:adjustRightInd w:val="0"/>
              <w:snapToGrid w:val="0"/>
              <w:spacing w:line="580" w:lineRule="exact"/>
              <w:ind w:firstLine="560" w:firstLineChars="200"/>
              <w:jc w:val="left"/>
              <w:rPr>
                <w:rFonts w:ascii="仿宋_GB2312" w:hAnsi="宋体" w:eastAsia="仿宋_GB2312"/>
                <w:bCs/>
                <w:kern w:val="0"/>
                <w:sz w:val="28"/>
                <w:szCs w:val="28"/>
              </w:rPr>
            </w:pPr>
            <w:r>
              <w:rPr>
                <w:rFonts w:hint="eastAsia" w:ascii="仿宋_GB2312" w:hAnsi="宋体" w:eastAsia="仿宋_GB2312"/>
                <w:kern w:val="0"/>
                <w:sz w:val="28"/>
                <w:szCs w:val="28"/>
              </w:rPr>
              <w:t>针对海南开放大学社区教育学院开设的各类课程进行2次推送宣传。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rPr>
              <w:t>协助升级平台服务需求:</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收集各市县反馈报告，向平台建设单位提出升级需求包括但不限于以下几点：</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1、</w:t>
            </w:r>
            <w:r>
              <w:rPr>
                <w:rFonts w:hint="default" w:ascii="仿宋_GB2312" w:hAnsi="宋体" w:eastAsia="仿宋_GB2312"/>
                <w:kern w:val="0"/>
                <w:sz w:val="28"/>
                <w:szCs w:val="28"/>
                <w:lang w:val="en-US" w:eastAsia="zh-CN"/>
              </w:rPr>
              <w:t>资讯模块</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2、</w:t>
            </w:r>
            <w:r>
              <w:rPr>
                <w:rFonts w:hint="default" w:ascii="仿宋_GB2312" w:hAnsi="宋体" w:eastAsia="仿宋_GB2312"/>
                <w:kern w:val="0"/>
                <w:sz w:val="28"/>
                <w:szCs w:val="28"/>
                <w:lang w:val="en-US" w:eastAsia="zh-CN"/>
              </w:rPr>
              <w:t>课程模块</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3、</w:t>
            </w:r>
            <w:r>
              <w:rPr>
                <w:rFonts w:hint="default" w:ascii="仿宋_GB2312" w:hAnsi="宋体" w:eastAsia="仿宋_GB2312"/>
                <w:kern w:val="0"/>
                <w:sz w:val="28"/>
                <w:szCs w:val="28"/>
                <w:lang w:val="en-US" w:eastAsia="zh-CN"/>
              </w:rPr>
              <w:t>数据统计</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4、</w:t>
            </w:r>
            <w:r>
              <w:rPr>
                <w:rFonts w:hint="default" w:ascii="仿宋_GB2312" w:hAnsi="宋体" w:eastAsia="仿宋_GB2312"/>
                <w:kern w:val="0"/>
                <w:sz w:val="28"/>
                <w:szCs w:val="28"/>
                <w:lang w:val="en-US" w:eastAsia="zh-CN"/>
              </w:rPr>
              <w:t>登录</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5、</w:t>
            </w:r>
            <w:r>
              <w:rPr>
                <w:rFonts w:hint="default" w:ascii="仿宋_GB2312" w:hAnsi="宋体" w:eastAsia="仿宋_GB2312"/>
                <w:kern w:val="0"/>
                <w:sz w:val="28"/>
                <w:szCs w:val="28"/>
                <w:lang w:val="en-US" w:eastAsia="zh-CN"/>
              </w:rPr>
              <w:t>管理员权限</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6、</w:t>
            </w:r>
            <w:r>
              <w:rPr>
                <w:rFonts w:hint="default" w:ascii="仿宋_GB2312" w:hAnsi="宋体" w:eastAsia="仿宋_GB2312"/>
                <w:kern w:val="0"/>
                <w:sz w:val="28"/>
                <w:szCs w:val="28"/>
                <w:lang w:val="en-US" w:eastAsia="zh-CN"/>
              </w:rPr>
              <w:t>多人同时在线</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7、</w:t>
            </w:r>
            <w:r>
              <w:rPr>
                <w:rFonts w:hint="default" w:ascii="仿宋_GB2312" w:hAnsi="宋体" w:eastAsia="仿宋_GB2312"/>
                <w:kern w:val="0"/>
                <w:sz w:val="28"/>
                <w:szCs w:val="28"/>
                <w:lang w:val="en-US" w:eastAsia="zh-CN"/>
              </w:rPr>
              <w:t>网站多主题切换</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8、</w:t>
            </w:r>
            <w:r>
              <w:rPr>
                <w:rFonts w:hint="default" w:ascii="仿宋_GB2312" w:hAnsi="宋体" w:eastAsia="仿宋_GB2312"/>
                <w:kern w:val="0"/>
                <w:sz w:val="28"/>
                <w:szCs w:val="28"/>
                <w:lang w:val="en-US" w:eastAsia="zh-CN"/>
              </w:rPr>
              <w:t>智能检索</w:t>
            </w:r>
          </w:p>
          <w:p>
            <w:pPr>
              <w:widowControl/>
              <w:adjustRightInd w:val="0"/>
              <w:snapToGrid w:val="0"/>
              <w:spacing w:line="580" w:lineRule="exact"/>
              <w:ind w:firstLine="560" w:firstLineChars="200"/>
              <w:jc w:val="left"/>
              <w:rPr>
                <w:rFonts w:hint="default"/>
                <w:lang w:val="en-US" w:eastAsia="zh-CN"/>
              </w:rPr>
            </w:pPr>
            <w:r>
              <w:rPr>
                <w:rFonts w:hint="eastAsia" w:ascii="仿宋_GB2312" w:hAnsi="宋体" w:eastAsia="仿宋_GB2312"/>
                <w:kern w:val="0"/>
                <w:sz w:val="28"/>
                <w:szCs w:val="28"/>
                <w:lang w:val="en-US" w:eastAsia="zh-CN"/>
              </w:rPr>
              <w:t>9、</w:t>
            </w:r>
            <w:r>
              <w:rPr>
                <w:rFonts w:hint="default" w:ascii="仿宋_GB2312" w:hAnsi="宋体" w:eastAsia="仿宋_GB2312"/>
                <w:kern w:val="0"/>
                <w:sz w:val="28"/>
                <w:szCs w:val="28"/>
                <w:lang w:val="en-US" w:eastAsia="zh-CN"/>
              </w:rPr>
              <w:t>积分功能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rPr>
              <w:t>协助账号管理服务需求:</w:t>
            </w:r>
          </w:p>
          <w:p>
            <w:pPr>
              <w:widowControl/>
              <w:adjustRightInd w:val="0"/>
              <w:snapToGrid w:val="0"/>
              <w:spacing w:line="580" w:lineRule="exact"/>
              <w:ind w:firstLine="560" w:firstLineChars="200"/>
              <w:jc w:val="left"/>
              <w:rPr>
                <w:rFonts w:ascii="仿宋_GB2312" w:hAnsi="宋体" w:eastAsia="仿宋_GB2312"/>
                <w:b/>
                <w:kern w:val="0"/>
                <w:sz w:val="28"/>
                <w:szCs w:val="28"/>
              </w:rPr>
            </w:pPr>
            <w:r>
              <w:rPr>
                <w:rFonts w:hint="eastAsia" w:ascii="仿宋_GB2312" w:hAnsi="宋体" w:eastAsia="仿宋_GB2312"/>
                <w:kern w:val="0"/>
                <w:sz w:val="28"/>
                <w:szCs w:val="28"/>
              </w:rPr>
              <w:t>协助做好各市县海南终身学习网管理员的账号管理工作，确保海南终身学习网平台各市县管理人员账号能正常使用，如有平台管理员变更</w:t>
            </w:r>
            <w:r>
              <w:rPr>
                <w:rFonts w:hint="eastAsia" w:ascii="仿宋_GB2312" w:hAnsi="宋体" w:eastAsia="仿宋_GB2312"/>
                <w:kern w:val="0"/>
                <w:sz w:val="28"/>
                <w:szCs w:val="28"/>
                <w:lang w:eastAsia="zh-CN"/>
              </w:rPr>
              <w:t>，</w:t>
            </w:r>
            <w:r>
              <w:rPr>
                <w:rFonts w:hint="eastAsia" w:ascii="仿宋_GB2312" w:hAnsi="宋体" w:eastAsia="仿宋_GB2312"/>
                <w:kern w:val="0"/>
                <w:sz w:val="28"/>
                <w:szCs w:val="28"/>
                <w:lang w:val="en-US" w:eastAsia="zh-CN"/>
              </w:rPr>
              <w:t>应及时做好账号交接工作，确保管理员能正常适用平台。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lang w:val="en-US" w:eastAsia="zh-CN"/>
              </w:rPr>
              <w:t>资源</w:t>
            </w:r>
            <w:r>
              <w:rPr>
                <w:rFonts w:hint="eastAsia" w:ascii="仿宋_GB2312" w:hAnsi="宋体" w:eastAsia="仿宋_GB2312"/>
                <w:b/>
                <w:kern w:val="0"/>
                <w:sz w:val="28"/>
                <w:szCs w:val="28"/>
              </w:rPr>
              <w:t>管理服务需求:</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rPr>
              <w:t>协助海南开放大学管理海南终身学习网平台的内部资源，包括各市县上传的新闻资讯，</w:t>
            </w:r>
            <w:r>
              <w:rPr>
                <w:rFonts w:hint="eastAsia" w:ascii="仿宋_GB2312" w:hAnsi="宋体" w:eastAsia="仿宋_GB2312"/>
                <w:kern w:val="0"/>
                <w:sz w:val="28"/>
                <w:szCs w:val="28"/>
                <w:lang w:val="en-US" w:eastAsia="zh-CN"/>
              </w:rPr>
              <w:t>包括：</w:t>
            </w:r>
          </w:p>
          <w:p>
            <w:pPr>
              <w:widowControl/>
              <w:adjustRightInd w:val="0"/>
              <w:snapToGrid w:val="0"/>
              <w:spacing w:line="580" w:lineRule="exact"/>
              <w:ind w:firstLine="560" w:firstLineChars="200"/>
              <w:jc w:val="left"/>
              <w:rPr>
                <w:rFonts w:hint="eastAsia" w:ascii="仿宋_GB2312" w:hAnsi="宋体" w:eastAsia="仿宋_GB2312"/>
                <w:kern w:val="0"/>
                <w:sz w:val="28"/>
                <w:szCs w:val="28"/>
              </w:rPr>
            </w:pPr>
            <w:r>
              <w:rPr>
                <w:rFonts w:hint="eastAsia" w:ascii="仿宋_GB2312" w:hAnsi="宋体" w:eastAsia="仿宋_GB2312"/>
                <w:kern w:val="0"/>
                <w:sz w:val="28"/>
                <w:szCs w:val="28"/>
                <w:lang w:val="en-US" w:eastAsia="zh-CN"/>
              </w:rPr>
              <w:t>1.海南</w:t>
            </w:r>
            <w:r>
              <w:rPr>
                <w:rFonts w:hint="eastAsia" w:ascii="仿宋_GB2312" w:hAnsi="宋体" w:eastAsia="仿宋_GB2312"/>
                <w:kern w:val="0"/>
                <w:sz w:val="28"/>
                <w:szCs w:val="28"/>
              </w:rPr>
              <w:t>开放大学开展的活动</w:t>
            </w:r>
          </w:p>
          <w:p>
            <w:pPr>
              <w:widowControl/>
              <w:adjustRightInd w:val="0"/>
              <w:snapToGrid w:val="0"/>
              <w:spacing w:line="580" w:lineRule="exact"/>
              <w:ind w:firstLine="560" w:firstLineChars="200"/>
              <w:jc w:val="left"/>
              <w:rPr>
                <w:rFonts w:hint="default"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2.各市县开展活动</w:t>
            </w:r>
          </w:p>
          <w:p>
            <w:pPr>
              <w:widowControl/>
              <w:adjustRightInd w:val="0"/>
              <w:snapToGrid w:val="0"/>
              <w:spacing w:line="580" w:lineRule="exact"/>
              <w:ind w:firstLine="560" w:firstLineChars="200"/>
              <w:jc w:val="left"/>
              <w:rPr>
                <w:rFonts w:hint="eastAsia" w:ascii="仿宋_GB2312" w:hAnsi="宋体" w:eastAsia="仿宋_GB2312"/>
                <w:kern w:val="0"/>
                <w:sz w:val="28"/>
                <w:szCs w:val="28"/>
              </w:rPr>
            </w:pPr>
            <w:r>
              <w:rPr>
                <w:rFonts w:hint="eastAsia" w:ascii="仿宋_GB2312" w:hAnsi="宋体" w:eastAsia="仿宋_GB2312"/>
                <w:kern w:val="0"/>
                <w:sz w:val="28"/>
                <w:szCs w:val="28"/>
                <w:lang w:val="en-US" w:eastAsia="zh-CN"/>
              </w:rPr>
              <w:t>3.</w:t>
            </w:r>
            <w:r>
              <w:rPr>
                <w:rFonts w:hint="eastAsia" w:ascii="仿宋_GB2312" w:hAnsi="宋体" w:eastAsia="仿宋_GB2312"/>
                <w:kern w:val="0"/>
                <w:sz w:val="28"/>
                <w:szCs w:val="28"/>
              </w:rPr>
              <w:t>线上课程资源</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4.</w:t>
            </w:r>
            <w:r>
              <w:rPr>
                <w:rFonts w:hint="eastAsia" w:ascii="仿宋_GB2312" w:hAnsi="宋体" w:eastAsia="仿宋_GB2312"/>
                <w:kern w:val="0"/>
                <w:sz w:val="28"/>
                <w:szCs w:val="28"/>
              </w:rPr>
              <w:t>师生风采</w:t>
            </w:r>
            <w:r>
              <w:rPr>
                <w:rFonts w:hint="eastAsia" w:ascii="仿宋_GB2312" w:hAnsi="宋体" w:eastAsia="仿宋_GB2312"/>
                <w:kern w:val="0"/>
                <w:sz w:val="28"/>
                <w:szCs w:val="28"/>
                <w:lang w:val="en-US" w:eastAsia="zh-CN"/>
              </w:rPr>
              <w:t>栏目的内容</w:t>
            </w:r>
          </w:p>
          <w:p>
            <w:pPr>
              <w:widowControl/>
              <w:adjustRightInd w:val="0"/>
              <w:snapToGrid w:val="0"/>
              <w:spacing w:line="580" w:lineRule="exact"/>
              <w:ind w:firstLine="560" w:firstLineChars="200"/>
              <w:jc w:val="left"/>
              <w:rPr>
                <w:rFonts w:hint="eastAsia" w:ascii="仿宋_GB2312" w:hAnsi="宋体" w:eastAsia="仿宋_GB2312"/>
                <w:kern w:val="0"/>
                <w:sz w:val="28"/>
                <w:szCs w:val="28"/>
                <w:lang w:val="en-US" w:eastAsia="zh-CN"/>
              </w:rPr>
            </w:pPr>
            <w:r>
              <w:rPr>
                <w:rFonts w:hint="eastAsia" w:ascii="仿宋_GB2312" w:hAnsi="宋体" w:eastAsia="仿宋_GB2312"/>
                <w:kern w:val="0"/>
                <w:sz w:val="28"/>
                <w:szCs w:val="28"/>
                <w:lang w:val="en-US" w:eastAsia="zh-CN"/>
              </w:rPr>
              <w:t>5.我学我秀栏目的内容</w:t>
            </w:r>
          </w:p>
          <w:p>
            <w:pPr>
              <w:widowControl/>
              <w:adjustRightInd w:val="0"/>
              <w:snapToGrid w:val="0"/>
              <w:spacing w:line="580" w:lineRule="exact"/>
              <w:ind w:firstLine="560" w:firstLineChars="200"/>
              <w:jc w:val="left"/>
              <w:rPr>
                <w:rFonts w:ascii="仿宋_GB2312" w:hAnsi="宋体" w:eastAsia="仿宋_GB2312"/>
                <w:b/>
                <w:kern w:val="0"/>
                <w:sz w:val="28"/>
                <w:szCs w:val="28"/>
              </w:rPr>
            </w:pPr>
            <w:r>
              <w:rPr>
                <w:rFonts w:hint="eastAsia" w:ascii="仿宋_GB2312" w:hAnsi="宋体" w:eastAsia="仿宋_GB2312"/>
                <w:kern w:val="0"/>
                <w:sz w:val="28"/>
                <w:szCs w:val="28"/>
              </w:rPr>
              <w:t>上传的内容需做到格式统一，内容精美，上传的资源需进行细致审核，确保资讯内容无意识形态问题，如遇到以上问题，需及时上报海南开放大学，进行下架等操作，避免恶劣影响进一步扩大，做好相应问题记录，并提供整改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tcPr>
          <w:p>
            <w:pPr>
              <w:widowControl/>
              <w:adjustRightInd w:val="0"/>
              <w:snapToGrid w:val="0"/>
              <w:spacing w:line="580" w:lineRule="exact"/>
              <w:ind w:firstLine="562" w:firstLineChars="200"/>
              <w:jc w:val="left"/>
              <w:rPr>
                <w:rFonts w:ascii="仿宋_GB2312" w:hAnsi="宋体" w:eastAsia="仿宋_GB2312"/>
                <w:b/>
                <w:kern w:val="0"/>
                <w:sz w:val="28"/>
                <w:szCs w:val="28"/>
              </w:rPr>
            </w:pPr>
            <w:r>
              <w:rPr>
                <w:rFonts w:hint="eastAsia" w:ascii="仿宋_GB2312" w:hAnsi="宋体" w:eastAsia="仿宋_GB2312" w:cs="宋体"/>
                <w:b/>
                <w:bCs/>
                <w:kern w:val="0"/>
                <w:sz w:val="28"/>
                <w:szCs w:val="28"/>
              </w:rPr>
              <w:t>★</w:t>
            </w:r>
            <w:r>
              <w:rPr>
                <w:rFonts w:hint="eastAsia" w:ascii="仿宋_GB2312" w:hAnsi="宋体" w:eastAsia="仿宋_GB2312"/>
                <w:b/>
                <w:kern w:val="0"/>
                <w:sz w:val="28"/>
                <w:szCs w:val="28"/>
                <w:lang w:val="en-US" w:eastAsia="zh-CN"/>
              </w:rPr>
              <w:t>活动系统</w:t>
            </w:r>
            <w:r>
              <w:rPr>
                <w:rFonts w:hint="eastAsia" w:ascii="仿宋_GB2312" w:hAnsi="宋体" w:eastAsia="仿宋_GB2312"/>
                <w:b/>
                <w:kern w:val="0"/>
                <w:sz w:val="28"/>
                <w:szCs w:val="28"/>
              </w:rPr>
              <w:t>服务需求:</w:t>
            </w:r>
          </w:p>
          <w:p>
            <w:pPr>
              <w:widowControl/>
              <w:adjustRightInd w:val="0"/>
              <w:snapToGrid w:val="0"/>
              <w:spacing w:line="580" w:lineRule="exact"/>
              <w:ind w:firstLine="560" w:firstLineChars="200"/>
              <w:jc w:val="left"/>
              <w:rPr>
                <w:rFonts w:hint="eastAsia" w:ascii="仿宋_GB2312" w:hAnsi="宋体" w:eastAsia="仿宋_GB2312"/>
                <w:kern w:val="0"/>
                <w:sz w:val="28"/>
                <w:szCs w:val="28"/>
              </w:rPr>
            </w:pPr>
            <w:r>
              <w:rPr>
                <w:rFonts w:hint="eastAsia" w:ascii="仿宋_GB2312" w:hAnsi="宋体" w:eastAsia="仿宋_GB2312"/>
                <w:kern w:val="0"/>
                <w:sz w:val="28"/>
                <w:szCs w:val="28"/>
              </w:rPr>
              <w:t>提供可支持海南终身学习网开展相应活动的活动系统及相关证书材料，包括：微服务平台、直播引擎、社区教育应用管理系统、网络教育平台运营服务等。</w:t>
            </w:r>
          </w:p>
        </w:tc>
      </w:tr>
    </w:tbl>
    <w:p>
      <w:pPr>
        <w:rPr>
          <w:rFonts w:hint="default" w:ascii="宋体" w:hAnsi="宋体" w:eastAsia="宋体" w:cs="宋体"/>
          <w:b/>
          <w:bCs/>
          <w:color w:val="auto"/>
          <w:sz w:val="24"/>
          <w:szCs w:val="24"/>
          <w:lang w:val="en-US" w:eastAsia="zh-CN"/>
        </w:rPr>
      </w:pPr>
      <w:r>
        <w:rPr>
          <w:rFonts w:hint="eastAsia" w:ascii="仿宋" w:hAnsi="仿宋" w:eastAsia="仿宋" w:cs="仿宋"/>
          <w:kern w:val="0"/>
          <w:sz w:val="32"/>
          <w:szCs w:val="32"/>
          <w:lang w:val="en-US" w:eastAsia="zh-CN"/>
        </w:rPr>
        <w:br w:type="page"/>
      </w:r>
      <w:r>
        <w:rPr>
          <w:rFonts w:hint="eastAsia" w:ascii="宋体" w:hAnsi="宋体" w:eastAsia="宋体" w:cs="宋体"/>
          <w:b/>
          <w:bCs/>
          <w:color w:val="auto"/>
          <w:sz w:val="24"/>
          <w:szCs w:val="24"/>
          <w:lang w:val="en-US" w:eastAsia="zh-CN"/>
        </w:rPr>
        <w:t>活动系统参数：</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0"/>
        <w:gridCol w:w="1517"/>
        <w:gridCol w:w="1553"/>
        <w:gridCol w:w="4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5"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序号</w:t>
            </w:r>
          </w:p>
        </w:tc>
        <w:tc>
          <w:tcPr>
            <w:tcW w:w="1653"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系统名称</w:t>
            </w:r>
          </w:p>
        </w:tc>
        <w:tc>
          <w:tcPr>
            <w:tcW w:w="1694"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功能名称</w:t>
            </w:r>
          </w:p>
        </w:tc>
        <w:tc>
          <w:tcPr>
            <w:tcW w:w="4768"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功能参数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trPr>
        <w:tc>
          <w:tcPr>
            <w:tcW w:w="1195"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1</w:t>
            </w:r>
          </w:p>
        </w:tc>
        <w:tc>
          <w:tcPr>
            <w:tcW w:w="1653" w:type="dxa"/>
            <w:noWrap w:val="0"/>
            <w:vAlign w:val="top"/>
          </w:tcPr>
          <w:p>
            <w:pPr>
              <w:rPr>
                <w:rFonts w:hint="eastAsia" w:ascii="宋体" w:hAnsi="宋体" w:eastAsia="宋体" w:cs="宋体"/>
                <w:sz w:val="22"/>
                <w:szCs w:val="22"/>
                <w:vertAlign w:val="baseline"/>
              </w:rPr>
            </w:pPr>
            <w:r>
              <w:rPr>
                <w:rFonts w:hint="eastAsia" w:ascii="宋体" w:hAnsi="宋体" w:eastAsia="宋体" w:cs="宋体"/>
                <w:sz w:val="22"/>
                <w:szCs w:val="22"/>
                <w:vertAlign w:val="baseline"/>
              </w:rPr>
              <w:t>微服务平台</w:t>
            </w:r>
          </w:p>
        </w:tc>
        <w:tc>
          <w:tcPr>
            <w:tcW w:w="1694" w:type="dxa"/>
            <w:noWrap w:val="0"/>
            <w:vAlign w:val="top"/>
          </w:tcPr>
          <w:p>
            <w:pPr>
              <w:rPr>
                <w:rFonts w:hint="eastAsia" w:ascii="宋体" w:hAnsi="宋体" w:eastAsia="宋体" w:cs="宋体"/>
                <w:sz w:val="22"/>
                <w:szCs w:val="22"/>
                <w:vertAlign w:val="baseline"/>
                <w:lang w:val="en-US" w:eastAsia="zh-CN"/>
              </w:rPr>
            </w:pPr>
            <w:r>
              <w:rPr>
                <w:rFonts w:hint="eastAsia" w:ascii="宋体" w:hAnsi="宋体" w:eastAsia="宋体" w:cs="宋体"/>
                <w:sz w:val="22"/>
                <w:szCs w:val="22"/>
                <w:vertAlign w:val="baseline"/>
                <w:lang w:val="en-US" w:eastAsia="zh-CN"/>
              </w:rPr>
              <w:t>表单引擎</w:t>
            </w:r>
          </w:p>
        </w:tc>
        <w:tc>
          <w:tcPr>
            <w:tcW w:w="4768" w:type="dxa"/>
            <w:noWrap w:val="0"/>
            <w:vAlign w:val="top"/>
          </w:tcPr>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1.提供自建表单应用引擎。支持单位创建、发布、管理个性化表单。功能包含表单配置、发放和数据回收管理。</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2.支持编辑表单应用名称、图标、绑定的组织架构。</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3.支持二次修改表单应用，并保留原表单应用已收集到的数据。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4.提供丰富的字段库，支持各类信息的准确收集。可使用字段包括：单行输入、多行输入、数字输入、滑动条、评分、说明文字、单选、下拉框、下拉复选、多级下拉、日期、日期区间、图片、视频、附件、联系人、部门；子表单、富文本、计算公式、自动编号、图片单选、图片多选、矩阵单选、矩阵多选、按钮、选择数据、直播、定位、地址、手写签名，所属人。</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5.提供字段回收站功能，删除的字段及其字段值在期限内可通过字段回收站找回。</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6.部分字段具有关联其他表单字段、数据联动、从第三方获取数据的功能，可用于实现表单之间数据的关联和联动。</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7.部分字段具有公式编辑功能，可在填写时根据填写的数据进行计算。</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8.部分字段支持从微服务用户系统中获取当前用户信息及当前用户部门信息。</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9.支持自定义表单填写页样式，如页面背景、表单背景、表头样式、表单标题、字段分列等，并提供多套模板。</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10.支持字段显隐规则设置某些字段满足一定条件的时候才能显示。</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11.支持自定义表单数据管理页各模块的内容和样式，包括顶部按钮、筛选项、右侧按钮、显示字段、字段排序、表格宽高、聚合统计、分页等，并提供多套模板。</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12.支持新建顶部按钮，执行打开url、批量导入附件、批量导入图片、修改字段值、选择数据、数据更新、打开应用等功能。</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13.右侧按钮支持配置显示规则，符合显示规则的按钮才会在后台数据管理页中显示，支持新建右侧按钮，执行打开url、修改字段值、自定义编辑、打开关联表、发放编辑、发起审批、发起填表、触发修改、发通知等功能。</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14.针对前台填写应用，支持设置填写有效时段、收集数量上限、用户填写次数上限、数据修改删除权限等。</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15.支持审核设置，管理员可在后台直接对数据进行通过/不通过的简单审核操作，并可针对不同审核结果设置对提交人发送审核结果通知，审批不通过时支持用户修改后数据后重新审核。</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16.支持多维度的权限设置，可针对不同角色分别设置其数据管理权限、字段权限、操作权限、其他权限。</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17.支持设置多个权限组，同一个表单，在不同业务系统菜单使用时，可以选择适用不同的权限设置。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18.支持自定义设置进入表单时和数据提交后的提示页面。</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19.支持设置提交校验，可以通过基础校验、高级校验及第三方校验三种途径，对表单数据的提交进行限制，不满足条件的数据不能提交。</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20.支持设置进入表单校验，进入表单时调用配置的URL，根据返回值决定是否让表单可以被继续填写。</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21.支持通过前端事件调用接口从外部获取数据填充本表单，提供更灵活的表单填写方式。</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22.支持通过数据推送将操作或变更后的数据推送至指定服务器，使表单可以作为一个开放的数据源。</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23.支持通过内部触发器，在一个表单新增、修改或删除数据后，自动在本单位其他表单或审批中新增数据、将符合条件的数据修改为指定的值、或删除指定数据。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24.支持设置推送提醒，当数据有新增、修改、删除或者到一个固定时间点时，根据预设条件对指定对象发送通知提醒。</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25.支持为表单添加计划任务，可以设置在指定的时间自动更新表单内日期时间间隔天数、修改指定字段的值或执行数据更新功能。</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26.支持设置多套打印模板，可以自定义表单数据打印时使用的模板样式，同时支持给模板配置使用范围，满足使用条件时才可使用对应的模板。</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27.支持查看管理员操作日志，可根据操作时间段、修改模块、事件类型等条件筛选查看对于本张表单的操作记录。</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28.后台数据管理页支持按条件查询数据，包括按提交时间、按提交人等条件进行筛选，并支持自定义添加筛选项。</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29.支持数据批量导入，并支持仅新增数据、仅更新数据，更新和新增数据3种模式。</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30.支持设置自定义导入模板，并让用户按照特定的导入模板去导入数据。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31.支持数据导出，可将收集到的数据导出为excel文件，并支持导出时自行勾选所需字段。</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32.支持将表单数据导出条形码或二维码。</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33.图片、附件、视频字段，支持导出字段内的文件。</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34.支持将表单发放采集，管理员可通过表单后台发放通知给指定对象，主动收集表单数据。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35.支持将表单数据发放修正，管理员可通过表单后台发放数据修正通知给指定对象，收件人可以根据提示修改已提交的数据。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36.后台数据管理页支持通过聚合统计对数据进行简单统计，包括对数字类型字段的求和、计次、求取平均值、最大值、最小值，以及对其他类型字段的计次。</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37.支持统计表单未提交人员，支持对未提交人员发送通知提醒。</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38.支持表单应用创建者或管理员修改或删除表单应用数据。</w:t>
            </w:r>
          </w:p>
          <w:p>
            <w:pPr>
              <w:ind w:firstLine="440" w:firstLineChars="200"/>
              <w:rPr>
                <w:rFonts w:hint="eastAsia" w:ascii="宋体" w:hAnsi="宋体" w:eastAsia="宋体" w:cs="宋体"/>
                <w:sz w:val="22"/>
                <w:szCs w:val="22"/>
                <w:vertAlign w:val="baseline"/>
              </w:rPr>
            </w:pPr>
            <w:r>
              <w:rPr>
                <w:rFonts w:hint="eastAsia" w:ascii="宋体" w:hAnsi="宋体" w:eastAsia="宋体" w:cs="宋体"/>
                <w:sz w:val="22"/>
                <w:szCs w:val="22"/>
                <w:vertAlign w:val="baseline"/>
              </w:rPr>
              <w:t>39.支持应用管理员和部门主管在学习通上查看数据提交统计，并支持导出。</w:t>
            </w:r>
          </w:p>
        </w:tc>
      </w:tr>
    </w:tbl>
    <w:p>
      <w:pPr>
        <w:rPr>
          <w:rFonts w:hint="eastAsia" w:ascii="仿宋" w:hAnsi="仿宋" w:eastAsia="仿宋" w:cs="仿宋"/>
          <w:kern w:val="0"/>
          <w:sz w:val="32"/>
          <w:szCs w:val="32"/>
        </w:rPr>
      </w:pPr>
      <w:r>
        <w:rPr>
          <w:rFonts w:hint="eastAsia" w:ascii="仿宋" w:hAnsi="仿宋" w:eastAsia="仿宋" w:cs="仿宋"/>
          <w:kern w:val="0"/>
          <w:sz w:val="32"/>
          <w:szCs w:val="32"/>
        </w:rPr>
        <w:br w:type="page"/>
      </w:r>
    </w:p>
    <w:p>
      <w:pPr>
        <w:widowControl/>
        <w:numPr>
          <w:ilvl w:val="0"/>
          <w:numId w:val="0"/>
        </w:numPr>
        <w:spacing w:line="440" w:lineRule="exact"/>
        <w:jc w:val="left"/>
        <w:textAlignment w:val="center"/>
        <w:rPr>
          <w:rFonts w:hint="eastAsia" w:ascii="仿宋" w:hAnsi="仿宋" w:eastAsia="仿宋" w:cs="仿宋"/>
          <w:color w:val="auto"/>
          <w:kern w:val="0"/>
          <w:sz w:val="32"/>
          <w:szCs w:val="32"/>
          <w:lang w:eastAsia="zh-CN"/>
        </w:rPr>
      </w:pPr>
      <w:r>
        <w:rPr>
          <w:rFonts w:hint="eastAsia" w:ascii="仿宋_GB2312" w:hAnsi="宋体" w:eastAsia="仿宋_GB2312" w:cs="宋体"/>
          <w:b/>
          <w:bCs/>
          <w:kern w:val="0"/>
          <w:sz w:val="28"/>
          <w:szCs w:val="28"/>
          <w:lang w:val="en-US" w:eastAsia="zh-CN"/>
        </w:rPr>
        <w:t xml:space="preserve">    2.</w:t>
      </w:r>
      <w:r>
        <w:rPr>
          <w:rFonts w:hint="eastAsia" w:ascii="仿宋_GB2312" w:hAnsi="宋体" w:eastAsia="仿宋_GB2312" w:cs="宋体"/>
          <w:b/>
          <w:bCs/>
          <w:kern w:val="0"/>
          <w:sz w:val="28"/>
          <w:szCs w:val="28"/>
        </w:rPr>
        <w:t>★</w:t>
      </w:r>
      <w:r>
        <w:rPr>
          <w:rFonts w:hint="eastAsia" w:ascii="仿宋" w:hAnsi="仿宋" w:eastAsia="仿宋" w:cs="仿宋"/>
          <w:color w:val="auto"/>
          <w:kern w:val="0"/>
          <w:sz w:val="32"/>
          <w:szCs w:val="32"/>
        </w:rPr>
        <w:t>商务要求</w:t>
      </w:r>
      <w:bookmarkStart w:id="0" w:name="_Toc12009500"/>
      <w:bookmarkStart w:id="1" w:name="_Toc298160464"/>
      <w:bookmarkStart w:id="2" w:name="_Toc441155240"/>
      <w:bookmarkStart w:id="3" w:name="_Hlt15643602"/>
    </w:p>
    <w:p>
      <w:pPr>
        <w:spacing w:line="580" w:lineRule="exact"/>
        <w:ind w:firstLine="640" w:firstLineChars="200"/>
        <w:rPr>
          <w:rFonts w:hint="eastAsia" w:ascii="仿宋_GB2312" w:hAnsi="宋体" w:eastAsia="仿宋_GB2312"/>
          <w:color w:val="auto"/>
          <w:sz w:val="32"/>
          <w:szCs w:val="32"/>
        </w:rPr>
      </w:pPr>
      <w:r>
        <w:rPr>
          <w:rFonts w:hint="eastAsia" w:ascii="仿宋_GB2312" w:hAnsi="宋体" w:eastAsia="仿宋_GB2312"/>
          <w:color w:val="auto"/>
          <w:sz w:val="32"/>
          <w:szCs w:val="32"/>
          <w:lang w:val="en-US" w:eastAsia="zh-CN"/>
        </w:rPr>
        <w:t>（1）</w:t>
      </w:r>
      <w:r>
        <w:rPr>
          <w:rFonts w:hint="eastAsia" w:ascii="仿宋_GB2312" w:hAnsi="宋体" w:eastAsia="仿宋_GB2312"/>
          <w:color w:val="auto"/>
          <w:sz w:val="32"/>
          <w:szCs w:val="32"/>
        </w:rPr>
        <w:t>服务模式</w:t>
      </w:r>
      <w:bookmarkEnd w:id="0"/>
      <w:bookmarkEnd w:id="1"/>
      <w:bookmarkEnd w:id="2"/>
      <w:bookmarkStart w:id="4" w:name="_Hlt15643551"/>
      <w:bookmarkEnd w:id="4"/>
      <w:r>
        <w:rPr>
          <w:rFonts w:hint="eastAsia" w:ascii="仿宋_GB2312" w:hAnsi="宋体" w:eastAsia="仿宋_GB2312"/>
          <w:color w:val="auto"/>
          <w:sz w:val="32"/>
          <w:szCs w:val="32"/>
          <w:lang w:eastAsia="zh-CN"/>
        </w:rPr>
        <w:t>：</w:t>
      </w:r>
      <w:bookmarkEnd w:id="3"/>
      <w:r>
        <w:rPr>
          <w:rFonts w:hint="eastAsia" w:ascii="仿宋_GB2312" w:hAnsi="宋体" w:eastAsia="仿宋_GB2312"/>
          <w:color w:val="auto"/>
          <w:sz w:val="32"/>
          <w:szCs w:val="32"/>
        </w:rPr>
        <w:t>在</w:t>
      </w:r>
      <w:r>
        <w:rPr>
          <w:rFonts w:hint="eastAsia" w:ascii="仿宋_GB2312" w:hAnsi="宋体" w:eastAsia="仿宋_GB2312"/>
          <w:color w:val="auto"/>
          <w:sz w:val="32"/>
          <w:szCs w:val="32"/>
          <w:lang w:val="en-US" w:eastAsia="zh-CN"/>
        </w:rPr>
        <w:t>海口市</w:t>
      </w:r>
      <w:r>
        <w:rPr>
          <w:rFonts w:hint="eastAsia" w:ascii="仿宋_GB2312" w:hAnsi="宋体" w:eastAsia="仿宋_GB2312"/>
          <w:color w:val="auto"/>
          <w:sz w:val="32"/>
          <w:szCs w:val="32"/>
        </w:rPr>
        <w:t>建立服务中心，并设置工程师，提供实时的日常维护和技术支持。当遇到问题或有服务需求时，可及时获得服务。</w:t>
      </w:r>
    </w:p>
    <w:p>
      <w:pPr>
        <w:spacing w:line="580" w:lineRule="exact"/>
        <w:ind w:left="638" w:leftChars="304" w:firstLine="0" w:firstLineChars="0"/>
        <w:rPr>
          <w:rFonts w:ascii="仿宋_GB2312" w:hAnsi="Arial" w:eastAsia="仿宋_GB2312"/>
          <w:color w:val="auto"/>
          <w:sz w:val="32"/>
          <w:szCs w:val="32"/>
        </w:rPr>
      </w:pPr>
      <w:r>
        <w:rPr>
          <w:rFonts w:hint="eastAsia" w:ascii="仿宋_GB2312" w:hAnsi="Arial" w:eastAsia="仿宋_GB2312"/>
          <w:b w:val="0"/>
          <w:bCs/>
          <w:color w:val="auto"/>
          <w:sz w:val="32"/>
          <w:szCs w:val="32"/>
          <w:lang w:eastAsia="zh-CN"/>
        </w:rPr>
        <w:t>（</w:t>
      </w:r>
      <w:r>
        <w:rPr>
          <w:rFonts w:hint="eastAsia" w:ascii="仿宋_GB2312" w:hAnsi="Arial" w:eastAsia="仿宋_GB2312"/>
          <w:b w:val="0"/>
          <w:bCs/>
          <w:color w:val="auto"/>
          <w:sz w:val="32"/>
          <w:szCs w:val="32"/>
          <w:lang w:val="en-US" w:eastAsia="zh-CN"/>
        </w:rPr>
        <w:t>2</w:t>
      </w:r>
      <w:r>
        <w:rPr>
          <w:rFonts w:hint="eastAsia" w:ascii="仿宋_GB2312" w:hAnsi="Arial" w:eastAsia="仿宋_GB2312"/>
          <w:b w:val="0"/>
          <w:bCs/>
          <w:color w:val="auto"/>
          <w:sz w:val="32"/>
          <w:szCs w:val="32"/>
          <w:lang w:eastAsia="zh-CN"/>
        </w:rPr>
        <w:t>）</w:t>
      </w:r>
      <w:r>
        <w:rPr>
          <w:rFonts w:hint="eastAsia" w:ascii="仿宋_GB2312" w:hAnsi="Arial" w:eastAsia="仿宋_GB2312"/>
          <w:b w:val="0"/>
          <w:bCs/>
          <w:color w:val="auto"/>
          <w:sz w:val="32"/>
          <w:szCs w:val="32"/>
        </w:rPr>
        <w:t>服务内容包括：（详细定义以服务目录定义为</w:t>
      </w:r>
      <w:r>
        <w:rPr>
          <w:rFonts w:hint="eastAsia" w:ascii="仿宋_GB2312" w:hAnsi="Arial" w:eastAsia="仿宋_GB2312"/>
          <w:b w:val="0"/>
          <w:bCs/>
          <w:color w:val="auto"/>
          <w:sz w:val="32"/>
          <w:szCs w:val="32"/>
          <w:lang w:val="en-US" w:eastAsia="zh-CN"/>
        </w:rPr>
        <w:t>准）</w:t>
      </w:r>
      <w:r>
        <w:rPr>
          <w:rFonts w:hint="eastAsia" w:ascii="仿宋_GB2312" w:hAnsi="Arial" w:eastAsia="仿宋_GB2312"/>
          <w:color w:val="auto"/>
          <w:sz w:val="32"/>
          <w:szCs w:val="32"/>
          <w:lang w:eastAsia="zh-CN"/>
        </w:rPr>
        <w:t>（</w:t>
      </w:r>
      <w:r>
        <w:rPr>
          <w:rFonts w:hint="eastAsia" w:ascii="仿宋_GB2312" w:hAnsi="Arial" w:eastAsia="仿宋_GB2312"/>
          <w:color w:val="auto"/>
          <w:sz w:val="32"/>
          <w:szCs w:val="32"/>
          <w:lang w:val="en-US" w:eastAsia="zh-CN"/>
        </w:rPr>
        <w:t>3</w:t>
      </w:r>
      <w:r>
        <w:rPr>
          <w:rFonts w:hint="eastAsia" w:ascii="仿宋_GB2312" w:hAnsi="Arial" w:eastAsia="仿宋_GB2312"/>
          <w:color w:val="auto"/>
          <w:sz w:val="32"/>
          <w:szCs w:val="32"/>
          <w:lang w:eastAsia="zh-CN"/>
        </w:rPr>
        <w:t>）</w:t>
      </w:r>
      <w:r>
        <w:rPr>
          <w:rFonts w:hint="eastAsia" w:ascii="仿宋_GB2312" w:hAnsi="Arial" w:eastAsia="仿宋_GB2312"/>
          <w:color w:val="auto"/>
          <w:sz w:val="32"/>
          <w:szCs w:val="32"/>
        </w:rPr>
        <w:t>服务中心提供的维护服务：</w:t>
      </w:r>
    </w:p>
    <w:p>
      <w:pPr>
        <w:widowControl/>
        <w:numPr>
          <w:ilvl w:val="0"/>
          <w:numId w:val="0"/>
        </w:numPr>
        <w:tabs>
          <w:tab w:val="left" w:pos="1560"/>
        </w:tabs>
        <w:spacing w:line="580" w:lineRule="exact"/>
        <w:ind w:firstLine="960" w:firstLineChars="300"/>
        <w:rPr>
          <w:rFonts w:ascii="仿宋_GB2312" w:hAnsi="Arial" w:eastAsia="仿宋_GB2312"/>
          <w:color w:val="auto"/>
          <w:sz w:val="32"/>
          <w:szCs w:val="32"/>
        </w:rPr>
      </w:pPr>
      <w:r>
        <w:rPr>
          <w:rFonts w:hint="eastAsia" w:ascii="仿宋_GB2312" w:hAnsi="Arial" w:eastAsia="仿宋_GB2312"/>
          <w:color w:val="auto"/>
          <w:sz w:val="32"/>
          <w:szCs w:val="32"/>
          <w:lang w:val="en-US" w:eastAsia="zh-CN"/>
        </w:rPr>
        <w:t>1.网站内部资源管理</w:t>
      </w:r>
    </w:p>
    <w:p>
      <w:pPr>
        <w:widowControl/>
        <w:numPr>
          <w:ilvl w:val="0"/>
          <w:numId w:val="0"/>
        </w:numPr>
        <w:tabs>
          <w:tab w:val="left" w:pos="1560"/>
        </w:tabs>
        <w:spacing w:line="580" w:lineRule="exact"/>
        <w:ind w:firstLine="960" w:firstLineChars="300"/>
        <w:rPr>
          <w:rFonts w:ascii="仿宋_GB2312" w:hAnsi="Arial" w:eastAsia="仿宋_GB2312"/>
          <w:color w:val="auto"/>
          <w:sz w:val="32"/>
          <w:szCs w:val="32"/>
        </w:rPr>
      </w:pPr>
      <w:r>
        <w:rPr>
          <w:rFonts w:hint="eastAsia" w:ascii="仿宋_GB2312" w:hAnsi="Arial" w:eastAsia="仿宋_GB2312"/>
          <w:color w:val="auto"/>
          <w:sz w:val="32"/>
          <w:szCs w:val="32"/>
          <w:lang w:val="en-US" w:eastAsia="zh-CN"/>
        </w:rPr>
        <w:t>2.活动策划与安排</w:t>
      </w:r>
    </w:p>
    <w:p>
      <w:pPr>
        <w:widowControl/>
        <w:numPr>
          <w:ilvl w:val="0"/>
          <w:numId w:val="0"/>
        </w:numPr>
        <w:tabs>
          <w:tab w:val="left" w:pos="1560"/>
        </w:tabs>
        <w:spacing w:line="580" w:lineRule="exact"/>
        <w:ind w:firstLine="960" w:firstLineChars="300"/>
        <w:rPr>
          <w:rFonts w:ascii="仿宋_GB2312" w:hAnsi="Arial" w:eastAsia="仿宋_GB2312"/>
          <w:color w:val="auto"/>
          <w:sz w:val="32"/>
          <w:szCs w:val="32"/>
        </w:rPr>
      </w:pPr>
      <w:r>
        <w:rPr>
          <w:rFonts w:hint="eastAsia" w:ascii="仿宋_GB2312" w:hAnsi="Arial" w:eastAsia="仿宋_GB2312"/>
          <w:color w:val="auto"/>
          <w:sz w:val="32"/>
          <w:szCs w:val="32"/>
          <w:lang w:val="en-US" w:eastAsia="zh-CN"/>
        </w:rPr>
        <w:t>3.海南终身学习网管理员培训与答疑</w:t>
      </w:r>
    </w:p>
    <w:p>
      <w:pPr>
        <w:widowControl/>
        <w:numPr>
          <w:ilvl w:val="0"/>
          <w:numId w:val="0"/>
        </w:numPr>
        <w:tabs>
          <w:tab w:val="left" w:pos="1560"/>
        </w:tabs>
        <w:spacing w:line="580" w:lineRule="exact"/>
        <w:ind w:firstLine="960" w:firstLineChars="300"/>
        <w:rPr>
          <w:rFonts w:ascii="仿宋_GB2312" w:hAnsi="Arial" w:eastAsia="仿宋_GB2312"/>
          <w:color w:val="auto"/>
          <w:sz w:val="32"/>
          <w:szCs w:val="32"/>
        </w:rPr>
      </w:pPr>
      <w:r>
        <w:rPr>
          <w:rFonts w:hint="eastAsia" w:ascii="仿宋_GB2312" w:hAnsi="Arial" w:eastAsia="仿宋_GB2312"/>
          <w:color w:val="auto"/>
          <w:sz w:val="32"/>
          <w:szCs w:val="32"/>
          <w:lang w:val="en-US" w:eastAsia="zh-CN"/>
        </w:rPr>
        <w:t>4.协助账号管理</w:t>
      </w:r>
    </w:p>
    <w:p>
      <w:pPr>
        <w:widowControl/>
        <w:numPr>
          <w:ilvl w:val="0"/>
          <w:numId w:val="0"/>
        </w:numPr>
        <w:tabs>
          <w:tab w:val="left" w:pos="993"/>
        </w:tabs>
        <w:spacing w:line="580" w:lineRule="exact"/>
        <w:ind w:firstLine="960" w:firstLineChars="300"/>
        <w:rPr>
          <w:rFonts w:hint="eastAsia" w:ascii="仿宋_GB2312" w:hAnsi="Arial" w:eastAsia="仿宋_GB2312"/>
          <w:color w:val="auto"/>
          <w:sz w:val="32"/>
          <w:szCs w:val="32"/>
        </w:rPr>
      </w:pPr>
      <w:r>
        <w:rPr>
          <w:rFonts w:hint="eastAsia" w:ascii="仿宋_GB2312" w:hAnsi="Arial" w:eastAsia="仿宋_GB2312"/>
          <w:color w:val="auto"/>
          <w:sz w:val="32"/>
          <w:szCs w:val="32"/>
          <w:lang w:val="en-US" w:eastAsia="zh-CN"/>
        </w:rPr>
        <w:t>5.</w:t>
      </w:r>
      <w:r>
        <w:rPr>
          <w:rFonts w:hint="eastAsia" w:ascii="仿宋_GB2312" w:hAnsi="Arial" w:eastAsia="仿宋_GB2312"/>
          <w:color w:val="auto"/>
          <w:sz w:val="32"/>
          <w:szCs w:val="32"/>
        </w:rPr>
        <w:t>服务管理</w:t>
      </w:r>
    </w:p>
    <w:p>
      <w:pPr>
        <w:widowControl/>
        <w:numPr>
          <w:ilvl w:val="0"/>
          <w:numId w:val="0"/>
        </w:numPr>
        <w:tabs>
          <w:tab w:val="left" w:pos="993"/>
        </w:tabs>
        <w:spacing w:line="580" w:lineRule="exact"/>
        <w:ind w:firstLine="960" w:firstLineChars="300"/>
        <w:rPr>
          <w:rFonts w:hint="eastAsia" w:ascii="仿宋_GB2312" w:hAnsi="Arial" w:eastAsia="仿宋_GB2312"/>
          <w:color w:val="auto"/>
          <w:sz w:val="32"/>
          <w:szCs w:val="32"/>
        </w:rPr>
      </w:pPr>
      <w:r>
        <w:rPr>
          <w:rFonts w:hint="eastAsia" w:ascii="仿宋_GB2312" w:hAnsi="Arial" w:eastAsia="仿宋_GB2312"/>
          <w:color w:val="auto"/>
          <w:sz w:val="32"/>
          <w:szCs w:val="32"/>
          <w:lang w:val="en-US" w:eastAsia="zh-CN"/>
        </w:rPr>
        <w:t>6.管理员</w:t>
      </w:r>
      <w:r>
        <w:rPr>
          <w:rFonts w:hint="eastAsia" w:ascii="仿宋_GB2312" w:hAnsi="Arial" w:eastAsia="仿宋_GB2312"/>
          <w:color w:val="auto"/>
          <w:sz w:val="32"/>
          <w:szCs w:val="32"/>
        </w:rPr>
        <w:t>关系管理</w:t>
      </w:r>
    </w:p>
    <w:p>
      <w:pPr>
        <w:widowControl/>
        <w:numPr>
          <w:ilvl w:val="0"/>
          <w:numId w:val="0"/>
        </w:numPr>
        <w:tabs>
          <w:tab w:val="left" w:pos="993"/>
        </w:tabs>
        <w:spacing w:line="580" w:lineRule="exact"/>
        <w:ind w:firstLine="960" w:firstLineChars="300"/>
        <w:rPr>
          <w:rFonts w:hint="eastAsia" w:ascii="仿宋_GB2312" w:hAnsi="Arial" w:eastAsia="仿宋_GB2312"/>
          <w:color w:val="auto"/>
          <w:sz w:val="32"/>
          <w:szCs w:val="32"/>
        </w:rPr>
      </w:pPr>
      <w:r>
        <w:rPr>
          <w:rFonts w:hint="eastAsia" w:ascii="仿宋_GB2312" w:hAnsi="Arial" w:eastAsia="仿宋_GB2312"/>
          <w:color w:val="auto"/>
          <w:sz w:val="32"/>
          <w:szCs w:val="32"/>
          <w:lang w:val="en-US" w:eastAsia="zh-CN"/>
        </w:rPr>
        <w:t>7.活动对接</w:t>
      </w:r>
      <w:r>
        <w:rPr>
          <w:rFonts w:hint="eastAsia" w:ascii="仿宋_GB2312" w:hAnsi="Arial" w:eastAsia="仿宋_GB2312"/>
          <w:color w:val="auto"/>
          <w:sz w:val="32"/>
          <w:szCs w:val="32"/>
        </w:rPr>
        <w:t>管理</w:t>
      </w:r>
      <w:bookmarkStart w:id="5" w:name="_Hlt29977389"/>
      <w:bookmarkEnd w:id="5"/>
    </w:p>
    <w:p>
      <w:pPr>
        <w:widowControl/>
        <w:numPr>
          <w:ilvl w:val="0"/>
          <w:numId w:val="0"/>
        </w:numPr>
        <w:tabs>
          <w:tab w:val="left" w:pos="993"/>
        </w:tabs>
        <w:spacing w:line="580" w:lineRule="exact"/>
        <w:ind w:firstLine="640" w:firstLineChars="200"/>
        <w:rPr>
          <w:rFonts w:ascii="仿宋_GB2312" w:hAnsi="Arial" w:eastAsia="仿宋_GB2312"/>
          <w:b/>
          <w:color w:val="auto"/>
          <w:sz w:val="32"/>
          <w:szCs w:val="32"/>
          <w:u w:val="single"/>
        </w:rPr>
      </w:pPr>
      <w:r>
        <w:rPr>
          <w:rFonts w:hint="eastAsia" w:ascii="仿宋_GB2312" w:eastAsia="仿宋_GB2312"/>
          <w:color w:val="auto"/>
          <w:sz w:val="32"/>
          <w:szCs w:val="32"/>
        </w:rPr>
        <w:t>（</w:t>
      </w:r>
      <w:r>
        <w:rPr>
          <w:rFonts w:hint="eastAsia" w:ascii="仿宋_GB2312" w:eastAsia="仿宋_GB2312"/>
          <w:color w:val="auto"/>
          <w:sz w:val="32"/>
          <w:szCs w:val="32"/>
          <w:lang w:val="en-US" w:eastAsia="zh-CN"/>
        </w:rPr>
        <w:t>4</w:t>
      </w:r>
      <w:r>
        <w:rPr>
          <w:rFonts w:hint="eastAsia" w:ascii="仿宋_GB2312" w:eastAsia="仿宋_GB2312"/>
          <w:color w:val="auto"/>
          <w:sz w:val="32"/>
          <w:szCs w:val="32"/>
        </w:rPr>
        <w:t>）组织结构及职责</w:t>
      </w:r>
    </w:p>
    <w:p>
      <w:pPr>
        <w:spacing w:line="580" w:lineRule="exact"/>
        <w:ind w:firstLine="640" w:firstLineChars="200"/>
        <w:rPr>
          <w:rFonts w:ascii="仿宋_GB2312" w:hAnsi="Arial" w:eastAsia="仿宋_GB2312"/>
          <w:b w:val="0"/>
          <w:bCs/>
          <w:color w:val="auto"/>
          <w:sz w:val="32"/>
          <w:szCs w:val="32"/>
          <w:u w:val="none"/>
        </w:rPr>
      </w:pPr>
      <w:r>
        <w:rPr>
          <w:rFonts w:hint="eastAsia" w:ascii="仿宋_GB2312" w:hAnsi="Arial" w:eastAsia="仿宋_GB2312"/>
          <w:b w:val="0"/>
          <w:bCs/>
          <w:color w:val="auto"/>
          <w:sz w:val="32"/>
          <w:szCs w:val="32"/>
          <w:u w:val="none"/>
          <w:lang w:eastAsia="zh-CN"/>
        </w:rPr>
        <w:t>（</w:t>
      </w:r>
      <w:r>
        <w:rPr>
          <w:rFonts w:hint="eastAsia" w:ascii="仿宋_GB2312" w:hAnsi="Arial" w:eastAsia="仿宋_GB2312"/>
          <w:b w:val="0"/>
          <w:bCs/>
          <w:color w:val="auto"/>
          <w:sz w:val="32"/>
          <w:szCs w:val="32"/>
          <w:u w:val="none"/>
          <w:lang w:val="en-US" w:eastAsia="zh-CN"/>
        </w:rPr>
        <w:t>5</w:t>
      </w:r>
      <w:r>
        <w:rPr>
          <w:rFonts w:hint="eastAsia" w:ascii="仿宋_GB2312" w:hAnsi="Arial" w:eastAsia="仿宋_GB2312"/>
          <w:b w:val="0"/>
          <w:bCs/>
          <w:color w:val="auto"/>
          <w:sz w:val="32"/>
          <w:szCs w:val="32"/>
          <w:u w:val="none"/>
          <w:lang w:eastAsia="zh-CN"/>
        </w:rPr>
        <w:t>）</w:t>
      </w:r>
      <w:r>
        <w:rPr>
          <w:rFonts w:hint="eastAsia" w:ascii="仿宋_GB2312" w:hAnsi="Arial" w:eastAsia="仿宋_GB2312"/>
          <w:b w:val="0"/>
          <w:bCs/>
          <w:color w:val="auto"/>
          <w:sz w:val="32"/>
          <w:szCs w:val="32"/>
          <w:u w:val="none"/>
        </w:rPr>
        <w:t>设立现场支持工程师</w:t>
      </w:r>
      <w:r>
        <w:rPr>
          <w:rFonts w:hint="eastAsia" w:ascii="仿宋_GB2312" w:hAnsi="Arial" w:eastAsia="仿宋_GB2312"/>
          <w:b w:val="0"/>
          <w:bCs/>
          <w:color w:val="auto"/>
          <w:sz w:val="32"/>
          <w:szCs w:val="32"/>
          <w:u w:val="none"/>
          <w:lang w:val="en-US" w:eastAsia="zh-CN"/>
        </w:rPr>
        <w:t>2</w:t>
      </w:r>
      <w:r>
        <w:rPr>
          <w:rFonts w:hint="eastAsia" w:ascii="仿宋_GB2312" w:hAnsi="Arial" w:eastAsia="仿宋_GB2312"/>
          <w:b w:val="0"/>
          <w:bCs/>
          <w:color w:val="auto"/>
          <w:sz w:val="32"/>
          <w:szCs w:val="32"/>
          <w:u w:val="none"/>
        </w:rPr>
        <w:t>名</w:t>
      </w:r>
    </w:p>
    <w:p>
      <w:pPr>
        <w:spacing w:line="580" w:lineRule="exact"/>
        <w:ind w:firstLine="640" w:firstLineChars="200"/>
        <w:rPr>
          <w:rFonts w:hint="eastAsia" w:ascii="仿宋_GB2312" w:hAnsi="Arial" w:eastAsia="仿宋_GB2312"/>
          <w:color w:val="0000FF"/>
          <w:sz w:val="32"/>
          <w:szCs w:val="32"/>
          <w:lang w:eastAsia="zh-CN"/>
        </w:rPr>
      </w:pPr>
      <w:r>
        <w:rPr>
          <w:rFonts w:hint="eastAsia" w:ascii="仿宋_GB2312" w:hAnsi="Arial" w:eastAsia="仿宋_GB2312"/>
          <w:color w:val="auto"/>
          <w:sz w:val="32"/>
          <w:szCs w:val="32"/>
        </w:rPr>
        <w:t>负责管理服务中心的日常运作，及时沟通，协调资源，保证服务级别和用户满意度达标。以最快速度响应用户的服务请求</w:t>
      </w:r>
      <w:bookmarkStart w:id="6" w:name="_Hlt15646516"/>
      <w:bookmarkEnd w:id="6"/>
      <w:bookmarkStart w:id="7" w:name="_Hlt36020189"/>
      <w:bookmarkEnd w:id="7"/>
      <w:bookmarkStart w:id="8" w:name="_Hlt15644820"/>
      <w:bookmarkEnd w:id="8"/>
      <w:bookmarkStart w:id="9" w:name="_Hlt30426889"/>
      <w:bookmarkEnd w:id="9"/>
      <w:bookmarkStart w:id="10" w:name="_Toc441155242"/>
      <w:bookmarkStart w:id="11" w:name="_Toc298160466"/>
      <w:r>
        <w:rPr>
          <w:rFonts w:hint="eastAsia" w:ascii="仿宋_GB2312" w:hAnsi="Arial" w:eastAsia="仿宋_GB2312"/>
          <w:color w:val="auto"/>
          <w:sz w:val="32"/>
          <w:szCs w:val="32"/>
          <w:lang w:eastAsia="zh-CN"/>
        </w:rPr>
        <w:t>。</w:t>
      </w:r>
    </w:p>
    <w:bookmarkEnd w:id="10"/>
    <w:bookmarkEnd w:id="11"/>
    <w:p>
      <w:pPr>
        <w:rPr>
          <w:rFonts w:hint="eastAsia" w:ascii="黑体" w:hAnsi="黑体" w:eastAsia="黑体" w:cs="黑体"/>
          <w:kern w:val="0"/>
          <w:sz w:val="32"/>
          <w:szCs w:val="32"/>
        </w:rPr>
      </w:pPr>
      <w:r>
        <w:rPr>
          <w:rFonts w:hint="eastAsia" w:ascii="黑体" w:hAnsi="黑体" w:eastAsia="黑体" w:cs="黑体"/>
          <w:kern w:val="0"/>
          <w:sz w:val="32"/>
          <w:szCs w:val="32"/>
        </w:rPr>
        <w:br w:type="page"/>
      </w:r>
    </w:p>
    <w:p>
      <w:pPr>
        <w:widowControl/>
        <w:spacing w:line="440" w:lineRule="exact"/>
        <w:ind w:firstLine="640" w:firstLineChars="200"/>
        <w:jc w:val="left"/>
        <w:textAlignment w:val="center"/>
        <w:rPr>
          <w:b/>
          <w:sz w:val="28"/>
          <w:szCs w:val="28"/>
        </w:rPr>
      </w:pPr>
      <w:r>
        <w:rPr>
          <w:rFonts w:hint="eastAsia" w:ascii="黑体" w:hAnsi="黑体" w:eastAsia="黑体" w:cs="黑体"/>
          <w:kern w:val="0"/>
          <w:sz w:val="32"/>
          <w:szCs w:val="32"/>
        </w:rPr>
        <w:t>二、评分细则表</w:t>
      </w:r>
    </w:p>
    <w:p>
      <w:pPr>
        <w:ind w:firstLine="480" w:firstLineChars="200"/>
        <w:jc w:val="left"/>
        <w:rPr>
          <w:sz w:val="24"/>
        </w:rPr>
      </w:pPr>
      <w:r>
        <w:rPr>
          <w:rFonts w:hint="eastAsia"/>
          <w:sz w:val="24"/>
        </w:rPr>
        <w:t>具体评分标准（1</w:t>
      </w:r>
      <w:r>
        <w:rPr>
          <w:sz w:val="24"/>
        </w:rPr>
        <w:t>00</w:t>
      </w:r>
      <w:r>
        <w:rPr>
          <w:rFonts w:hint="eastAsia"/>
          <w:sz w:val="24"/>
        </w:rPr>
        <w:t>分）</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5"/>
        <w:gridCol w:w="1082"/>
        <w:gridCol w:w="89"/>
        <w:gridCol w:w="41"/>
        <w:gridCol w:w="554"/>
        <w:gridCol w:w="1019"/>
        <w:gridCol w:w="1703"/>
        <w:gridCol w:w="1703"/>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5000" w:type="pct"/>
            <w:gridSpan w:val="9"/>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b/>
                <w:color w:val="000000" w:themeColor="text1"/>
                <w:sz w:val="24"/>
                <w14:textFill>
                  <w14:solidFill>
                    <w14:schemeClr w14:val="tx1"/>
                  </w14:solidFill>
                </w14:textFill>
              </w:rPr>
            </w:pPr>
            <w:bookmarkStart w:id="12" w:name="_Toc22605"/>
            <w:bookmarkStart w:id="13" w:name="_Toc2939"/>
            <w:bookmarkStart w:id="14" w:name="_Toc31453"/>
            <w:bookmarkStart w:id="15" w:name="_Toc11860"/>
            <w:bookmarkStart w:id="16" w:name="_Toc28137"/>
            <w:bookmarkStart w:id="17" w:name="_Toc25893"/>
            <w:r>
              <w:rPr>
                <w:rFonts w:hint="eastAsia"/>
                <w:b/>
                <w:color w:val="000000" w:themeColor="text1"/>
                <w:sz w:val="24"/>
                <w14:textFill>
                  <w14:solidFill>
                    <w14:schemeClr w14:val="tx1"/>
                  </w14:solidFill>
                </w14:textFill>
              </w:rPr>
              <w:t>技术、商务及价格分值分配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996" w:type="pct"/>
            <w:gridSpan w:val="2"/>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评分项目</w:t>
            </w:r>
          </w:p>
        </w:tc>
        <w:tc>
          <w:tcPr>
            <w:tcW w:w="999" w:type="pct"/>
            <w:gridSpan w:val="4"/>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技术</w:t>
            </w:r>
          </w:p>
        </w:tc>
        <w:tc>
          <w:tcPr>
            <w:tcW w:w="999"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商务</w:t>
            </w:r>
          </w:p>
        </w:tc>
        <w:tc>
          <w:tcPr>
            <w:tcW w:w="999"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价格</w:t>
            </w:r>
          </w:p>
        </w:tc>
        <w:tc>
          <w:tcPr>
            <w:tcW w:w="1006"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996" w:type="pct"/>
            <w:gridSpan w:val="2"/>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分值</w:t>
            </w:r>
          </w:p>
        </w:tc>
        <w:tc>
          <w:tcPr>
            <w:tcW w:w="999" w:type="pct"/>
            <w:gridSpan w:val="4"/>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30</w:t>
            </w:r>
            <w:r>
              <w:rPr>
                <w:rFonts w:hint="eastAsia" w:ascii="宋体" w:hAnsi="宋体" w:cs="宋体"/>
                <w:color w:val="000000" w:themeColor="text1"/>
                <w:sz w:val="24"/>
                <w14:textFill>
                  <w14:solidFill>
                    <w14:schemeClr w14:val="tx1"/>
                  </w14:solidFill>
                </w14:textFill>
              </w:rPr>
              <w:t>分</w:t>
            </w:r>
          </w:p>
        </w:tc>
        <w:tc>
          <w:tcPr>
            <w:tcW w:w="999"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50</w:t>
            </w:r>
            <w:r>
              <w:rPr>
                <w:rFonts w:hint="eastAsia" w:ascii="宋体" w:hAnsi="宋体" w:cs="宋体"/>
                <w:color w:val="000000" w:themeColor="text1"/>
                <w:sz w:val="24"/>
                <w14:textFill>
                  <w14:solidFill>
                    <w14:schemeClr w14:val="tx1"/>
                  </w14:solidFill>
                </w14:textFill>
              </w:rPr>
              <w:t>分</w:t>
            </w:r>
          </w:p>
        </w:tc>
        <w:tc>
          <w:tcPr>
            <w:tcW w:w="999"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20</w:t>
            </w:r>
            <w:r>
              <w:rPr>
                <w:rFonts w:hint="eastAsia" w:ascii="宋体" w:hAnsi="宋体" w:cs="宋体"/>
                <w:color w:val="000000" w:themeColor="text1"/>
                <w:sz w:val="24"/>
                <w14:textFill>
                  <w14:solidFill>
                    <w14:schemeClr w14:val="tx1"/>
                  </w14:solidFill>
                </w14:textFill>
              </w:rPr>
              <w:t>分</w:t>
            </w:r>
          </w:p>
        </w:tc>
        <w:tc>
          <w:tcPr>
            <w:tcW w:w="1006" w:type="pct"/>
            <w:tcBorders>
              <w:top w:val="single" w:color="auto" w:sz="4" w:space="0"/>
              <w:left w:val="single" w:color="auto" w:sz="4" w:space="0"/>
              <w:bottom w:val="single" w:color="auto" w:sz="4" w:space="0"/>
              <w:right w:val="single" w:color="auto" w:sz="4" w:space="0"/>
            </w:tcBorders>
            <w:shd w:val="clear" w:color="auto" w:fill="D7D7D7"/>
            <w:vAlign w:val="center"/>
          </w:tcPr>
          <w:p>
            <w:pPr>
              <w:spacing w:before="72" w:after="72"/>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100分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5000" w:type="pct"/>
            <w:gridSpan w:val="9"/>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rFonts w:ascii="宋体" w:hAnsi="Arial"/>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技术评审部分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61" w:type="pct"/>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序号</w:t>
            </w:r>
          </w:p>
        </w:tc>
        <w:tc>
          <w:tcPr>
            <w:tcW w:w="711" w:type="pct"/>
            <w:gridSpan w:val="3"/>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评审内容</w:t>
            </w:r>
          </w:p>
        </w:tc>
        <w:tc>
          <w:tcPr>
            <w:tcW w:w="325" w:type="pct"/>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分值</w:t>
            </w:r>
          </w:p>
        </w:tc>
        <w:tc>
          <w:tcPr>
            <w:tcW w:w="3602" w:type="pct"/>
            <w:gridSpan w:val="4"/>
            <w:tcBorders>
              <w:top w:val="single" w:color="auto" w:sz="4" w:space="0"/>
              <w:left w:val="single" w:color="auto" w:sz="4" w:space="0"/>
              <w:bottom w:val="single" w:color="auto" w:sz="4" w:space="0"/>
              <w:right w:val="single" w:color="auto" w:sz="4" w:space="0"/>
            </w:tcBorders>
            <w:shd w:val="clear" w:color="auto" w:fill="D7D7D7"/>
            <w:vAlign w:val="center"/>
          </w:tcPr>
          <w:p>
            <w:pPr>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jc w:val="center"/>
        </w:trPr>
        <w:tc>
          <w:tcPr>
            <w:tcW w:w="361" w:type="pct"/>
            <w:tcBorders>
              <w:top w:val="single" w:color="auto" w:sz="4" w:space="0"/>
              <w:left w:val="single" w:color="auto" w:sz="4" w:space="0"/>
              <w:bottom w:val="single" w:color="auto" w:sz="4" w:space="0"/>
              <w:right w:val="single" w:color="auto" w:sz="4" w:space="0"/>
            </w:tcBorders>
            <w:vAlign w:val="center"/>
          </w:tcPr>
          <w:p>
            <w:pPr>
              <w:spacing w:line="440" w:lineRule="exact"/>
              <w:ind w:left="101" w:hanging="100" w:hangingChars="42"/>
              <w:jc w:val="center"/>
              <w:rPr>
                <w:rFonts w:hint="eastAsia"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1</w:t>
            </w:r>
          </w:p>
        </w:tc>
        <w:tc>
          <w:tcPr>
            <w:tcW w:w="711" w:type="pct"/>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cs="宋体"/>
                <w:color w:val="0000FF"/>
                <w:sz w:val="24"/>
              </w:rPr>
            </w:pPr>
            <w:r>
              <w:rPr>
                <w:rFonts w:hint="eastAsia" w:ascii="宋体" w:hAnsi="宋体" w:cs="宋体"/>
                <w:color w:val="auto"/>
                <w:sz w:val="24"/>
              </w:rPr>
              <w:t>投标人项目实施方案</w:t>
            </w:r>
          </w:p>
        </w:tc>
        <w:tc>
          <w:tcPr>
            <w:tcW w:w="325"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30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spacing w:line="440" w:lineRule="exact"/>
              <w:ind w:firstLine="480" w:firstLineChars="200"/>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ascii="宋体" w:hAnsi="宋体" w:eastAsia="宋体" w:cs="宋体"/>
                <w:color w:val="auto"/>
                <w:sz w:val="24"/>
                <w:szCs w:val="24"/>
              </w:rPr>
              <w:t>根据</w:t>
            </w:r>
            <w:r>
              <w:rPr>
                <w:rFonts w:hint="eastAsia" w:ascii="宋体" w:hAnsi="宋体" w:cs="宋体"/>
                <w:color w:val="auto"/>
                <w:sz w:val="24"/>
                <w:szCs w:val="24"/>
                <w:lang w:val="en-US" w:eastAsia="zh-CN"/>
              </w:rPr>
              <w:t>投标人</w:t>
            </w:r>
            <w:r>
              <w:rPr>
                <w:rFonts w:ascii="宋体" w:hAnsi="宋体" w:eastAsia="宋体" w:cs="宋体"/>
                <w:color w:val="auto"/>
                <w:sz w:val="24"/>
                <w:szCs w:val="24"/>
              </w:rPr>
              <w:t>对本项目采购需求分析和理解响应情况提供的服务方案进行综合评分： 采购需求分析明确到位，描述详细清晰，应对措施合理，针对性和可操作性强，得</w:t>
            </w:r>
            <w:r>
              <w:rPr>
                <w:rFonts w:hint="eastAsia" w:ascii="宋体" w:hAnsi="宋体" w:cs="宋体"/>
                <w:color w:val="auto"/>
                <w:sz w:val="24"/>
                <w:szCs w:val="24"/>
                <w:lang w:val="en-US" w:eastAsia="zh-CN"/>
              </w:rPr>
              <w:t>24-30</w:t>
            </w:r>
            <w:r>
              <w:rPr>
                <w:rFonts w:ascii="宋体" w:hAnsi="宋体" w:eastAsia="宋体" w:cs="宋体"/>
                <w:color w:val="auto"/>
                <w:sz w:val="24"/>
                <w:szCs w:val="24"/>
              </w:rPr>
              <w:t>分；（2）采购需求分析基本明确到位，描述较详细清晰，应对措施较合理，针对性和可操作性较强，得</w:t>
            </w:r>
            <w:r>
              <w:rPr>
                <w:rFonts w:hint="eastAsia" w:ascii="宋体" w:hAnsi="宋体" w:cs="宋体"/>
                <w:color w:val="auto"/>
                <w:sz w:val="24"/>
                <w:szCs w:val="24"/>
                <w:lang w:val="en-US" w:eastAsia="zh-CN"/>
              </w:rPr>
              <w:t>16-23</w:t>
            </w:r>
            <w:r>
              <w:rPr>
                <w:rFonts w:ascii="宋体" w:hAnsi="宋体" w:eastAsia="宋体" w:cs="宋体"/>
                <w:color w:val="auto"/>
                <w:sz w:val="24"/>
                <w:szCs w:val="24"/>
              </w:rPr>
              <w:t>分；（3）采购需求分析一般，描述一般详细清晰，应对措施一般，针对性和可操作性一般，得</w:t>
            </w:r>
            <w:r>
              <w:rPr>
                <w:rFonts w:hint="eastAsia" w:ascii="宋体" w:hAnsi="宋体" w:cs="宋体"/>
                <w:color w:val="auto"/>
                <w:sz w:val="24"/>
                <w:szCs w:val="24"/>
                <w:lang w:val="en-US" w:eastAsia="zh-CN"/>
              </w:rPr>
              <w:t>8-15</w:t>
            </w:r>
            <w:r>
              <w:rPr>
                <w:rFonts w:ascii="宋体" w:hAnsi="宋体" w:eastAsia="宋体" w:cs="宋体"/>
                <w:color w:val="auto"/>
                <w:sz w:val="24"/>
                <w:szCs w:val="24"/>
              </w:rPr>
              <w:t>分；（4）采购需求分析较差，描述不清楚，应对措施较差，针对性和可操作性较差，得</w:t>
            </w:r>
            <w:r>
              <w:rPr>
                <w:rFonts w:hint="eastAsia" w:ascii="宋体" w:hAnsi="宋体" w:cs="宋体"/>
                <w:color w:val="auto"/>
                <w:sz w:val="24"/>
                <w:szCs w:val="24"/>
                <w:lang w:val="en-US" w:eastAsia="zh-CN"/>
              </w:rPr>
              <w:t>1-7</w:t>
            </w:r>
            <w:r>
              <w:rPr>
                <w:rFonts w:ascii="宋体" w:hAnsi="宋体" w:eastAsia="宋体" w:cs="宋体"/>
                <w:color w:val="auto"/>
                <w:sz w:val="24"/>
                <w:szCs w:val="24"/>
              </w:rPr>
              <w:t xml:space="preserve"> 分</w:t>
            </w:r>
            <w:r>
              <w:rPr>
                <w:rFonts w:hint="eastAsia" w:ascii="宋体" w:hAnsi="宋体" w:cs="宋体"/>
                <w:color w:val="auto"/>
                <w:sz w:val="24"/>
                <w:szCs w:val="24"/>
                <w:lang w:eastAsia="zh-CN"/>
              </w:rPr>
              <w:t>；</w:t>
            </w:r>
            <w:r>
              <w:rPr>
                <w:rFonts w:ascii="宋体" w:hAnsi="宋体" w:eastAsia="宋体" w:cs="宋体"/>
                <w:color w:val="auto"/>
                <w:sz w:val="24"/>
                <w:szCs w:val="24"/>
              </w:rPr>
              <w:t>（</w:t>
            </w:r>
            <w:r>
              <w:rPr>
                <w:rFonts w:hint="eastAsia" w:ascii="宋体" w:hAnsi="宋体" w:cs="宋体"/>
                <w:color w:val="auto"/>
                <w:sz w:val="24"/>
                <w:szCs w:val="24"/>
                <w:lang w:val="en-US" w:eastAsia="zh-CN"/>
              </w:rPr>
              <w:t>5</w:t>
            </w:r>
            <w:r>
              <w:rPr>
                <w:rFonts w:ascii="宋体" w:hAnsi="宋体" w:eastAsia="宋体" w:cs="宋体"/>
                <w:color w:val="auto"/>
                <w:sz w:val="24"/>
                <w:szCs w:val="24"/>
              </w:rPr>
              <w:t>）不提交实施方案</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72" w:type="pct"/>
            <w:gridSpan w:val="4"/>
            <w:tcBorders>
              <w:top w:val="single" w:color="auto" w:sz="4" w:space="0"/>
              <w:left w:val="single" w:color="auto" w:sz="4" w:space="0"/>
              <w:bottom w:val="single" w:color="auto" w:sz="4" w:space="0"/>
              <w:right w:val="single" w:color="auto" w:sz="4" w:space="0"/>
            </w:tcBorders>
            <w:vAlign w:val="center"/>
          </w:tcPr>
          <w:p>
            <w:pPr>
              <w:spacing w:line="300" w:lineRule="auto"/>
              <w:ind w:left="101" w:hanging="101" w:hangingChars="42"/>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合计</w:t>
            </w:r>
          </w:p>
        </w:tc>
        <w:tc>
          <w:tcPr>
            <w:tcW w:w="325" w:type="pct"/>
            <w:tcBorders>
              <w:top w:val="single" w:color="auto" w:sz="4" w:space="0"/>
              <w:left w:val="single" w:color="auto" w:sz="4" w:space="0"/>
              <w:bottom w:val="single" w:color="auto" w:sz="4" w:space="0"/>
              <w:right w:val="single" w:color="auto" w:sz="4" w:space="0"/>
            </w:tcBorders>
            <w:vAlign w:val="center"/>
          </w:tcPr>
          <w:p>
            <w:pPr>
              <w:autoSpaceDE w:val="0"/>
              <w:autoSpaceDN w:val="0"/>
              <w:spacing w:line="300" w:lineRule="auto"/>
              <w:jc w:val="center"/>
              <w:rPr>
                <w:rFonts w:hint="default" w:ascii="宋体" w:hAnsi="宋体" w:eastAsia="宋体" w:cs="宋体"/>
                <w:b/>
                <w:color w:val="000000" w:themeColor="text1"/>
                <w:sz w:val="24"/>
                <w:lang w:val="en-US" w:eastAsia="zh-CN"/>
                <w14:textFill>
                  <w14:solidFill>
                    <w14:schemeClr w14:val="tx1"/>
                  </w14:solidFill>
                </w14:textFill>
              </w:rPr>
            </w:pPr>
            <w:r>
              <w:rPr>
                <w:rFonts w:hint="eastAsia" w:ascii="宋体" w:hAnsi="宋体" w:cs="宋体"/>
                <w:b/>
                <w:color w:val="000000" w:themeColor="text1"/>
                <w:sz w:val="24"/>
                <w:lang w:val="en-US" w:eastAsia="zh-CN"/>
                <w14:textFill>
                  <w14:solidFill>
                    <w14:schemeClr w14:val="tx1"/>
                  </w14:solidFill>
                </w14:textFill>
              </w:rPr>
              <w:t>30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spacing w:line="440" w:lineRule="exact"/>
              <w:ind w:left="19" w:hanging="19" w:hangingChars="8"/>
              <w:jc w:val="left"/>
              <w:rPr>
                <w:rFonts w:ascii="宋体" w:hAnsi="宋体" w:cs="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5000" w:type="pct"/>
            <w:gridSpan w:val="9"/>
            <w:tcBorders>
              <w:top w:val="single" w:color="auto" w:sz="4" w:space="0"/>
              <w:left w:val="single" w:color="auto" w:sz="4" w:space="0"/>
              <w:bottom w:val="single" w:color="auto" w:sz="4" w:space="0"/>
              <w:right w:val="single" w:color="auto" w:sz="4" w:space="0"/>
            </w:tcBorders>
            <w:vAlign w:val="center"/>
          </w:tcPr>
          <w:p>
            <w:pPr>
              <w:jc w:val="center"/>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商务评审部分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361" w:type="pct"/>
            <w:tcBorders>
              <w:top w:val="single" w:color="auto" w:sz="4" w:space="0"/>
              <w:left w:val="single" w:color="auto" w:sz="4" w:space="0"/>
              <w:bottom w:val="single" w:color="auto" w:sz="4" w:space="0"/>
              <w:right w:val="single" w:color="auto" w:sz="4" w:space="0"/>
            </w:tcBorders>
            <w:vAlign w:val="center"/>
          </w:tcPr>
          <w:p>
            <w:pPr>
              <w:wordWrap w:val="0"/>
              <w:topLinePunct/>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序号</w:t>
            </w:r>
          </w:p>
        </w:tc>
        <w:tc>
          <w:tcPr>
            <w:tcW w:w="711" w:type="pct"/>
            <w:gridSpan w:val="3"/>
            <w:tcBorders>
              <w:top w:val="single" w:color="auto" w:sz="4" w:space="0"/>
              <w:left w:val="single" w:color="auto" w:sz="4" w:space="0"/>
              <w:bottom w:val="single" w:color="auto" w:sz="4" w:space="0"/>
              <w:right w:val="single" w:color="auto" w:sz="4" w:space="0"/>
            </w:tcBorders>
            <w:vAlign w:val="center"/>
          </w:tcPr>
          <w:p>
            <w:pPr>
              <w:wordWrap w:val="0"/>
              <w:topLinePunct/>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评审内容</w:t>
            </w:r>
          </w:p>
        </w:tc>
        <w:tc>
          <w:tcPr>
            <w:tcW w:w="325" w:type="pct"/>
            <w:tcBorders>
              <w:top w:val="single" w:color="auto" w:sz="4" w:space="0"/>
              <w:left w:val="single" w:color="auto" w:sz="4" w:space="0"/>
              <w:bottom w:val="single" w:color="auto" w:sz="4" w:space="0"/>
              <w:right w:val="single" w:color="auto" w:sz="4" w:space="0"/>
            </w:tcBorders>
            <w:vAlign w:val="center"/>
          </w:tcPr>
          <w:p>
            <w:pPr>
              <w:wordWrap w:val="0"/>
              <w:topLinePunct/>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分值</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wordWrap w:val="0"/>
              <w:topLinePunct/>
              <w:ind w:left="101" w:hanging="101" w:hangingChars="42"/>
              <w:jc w:val="center"/>
              <w:rPr>
                <w:rFonts w:ascii="宋体" w:hAnsi="宋体" w:cs="宋体"/>
                <w:b/>
                <w:color w:val="000000" w:themeColor="text1"/>
                <w:sz w:val="24"/>
                <w14:textFill>
                  <w14:solidFill>
                    <w14:schemeClr w14:val="tx1"/>
                  </w14:solidFill>
                </w14:textFill>
              </w:rPr>
            </w:pPr>
            <w:r>
              <w:rPr>
                <w:rFonts w:hint="eastAsia" w:ascii="宋体" w:hAnsi="宋体" w:cs="宋体"/>
                <w:b/>
                <w:color w:val="000000" w:themeColor="text1"/>
                <w:sz w:val="24"/>
                <w14:textFill>
                  <w14:solidFill>
                    <w14:schemeClr w14:val="tx1"/>
                  </w14:solidFill>
                </w14:textFill>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361" w:type="pct"/>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w:t>
            </w:r>
          </w:p>
        </w:tc>
        <w:tc>
          <w:tcPr>
            <w:tcW w:w="711" w:type="pct"/>
            <w:gridSpan w:val="3"/>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同类项目业绩</w:t>
            </w:r>
          </w:p>
        </w:tc>
        <w:tc>
          <w:tcPr>
            <w:tcW w:w="325" w:type="pct"/>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20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ind w:firstLine="480" w:firstLineChars="200"/>
              <w:rPr>
                <w:rFonts w:ascii="宋体" w:hAnsi="宋体" w:cs="宋体"/>
                <w:color w:val="auto"/>
                <w:sz w:val="24"/>
              </w:rPr>
            </w:pPr>
            <w:r>
              <w:rPr>
                <w:rFonts w:hint="eastAsia" w:ascii="宋体" w:hAnsi="宋体" w:cs="宋体"/>
                <w:color w:val="auto"/>
                <w:sz w:val="24"/>
              </w:rPr>
              <w:t>根据</w:t>
            </w:r>
            <w:r>
              <w:rPr>
                <w:rFonts w:hint="eastAsia" w:ascii="宋体" w:hAnsi="宋体" w:cs="宋体"/>
                <w:color w:val="auto"/>
                <w:sz w:val="24"/>
                <w:lang w:val="en-US" w:eastAsia="zh-CN"/>
              </w:rPr>
              <w:t>2020</w:t>
            </w:r>
            <w:r>
              <w:rPr>
                <w:rFonts w:hint="eastAsia" w:ascii="宋体" w:hAnsi="宋体" w:cs="宋体"/>
                <w:color w:val="auto"/>
                <w:sz w:val="24"/>
              </w:rPr>
              <w:t>年1月1日（以合同签订时间为准）以来的类似业绩相关证明材料：每提供1个项目得5分，满分</w:t>
            </w:r>
            <w:r>
              <w:rPr>
                <w:rFonts w:hint="eastAsia" w:ascii="宋体" w:hAnsi="宋体" w:cs="宋体"/>
                <w:color w:val="auto"/>
                <w:sz w:val="24"/>
                <w:lang w:val="en-US" w:eastAsia="zh-CN"/>
              </w:rPr>
              <w:t>2</w:t>
            </w:r>
            <w:r>
              <w:rPr>
                <w:rFonts w:hint="eastAsia" w:ascii="宋体" w:hAnsi="宋体" w:cs="宋体"/>
                <w:color w:val="auto"/>
                <w:sz w:val="24"/>
              </w:rPr>
              <w:t>0分。注：需提供相关证明材料</w:t>
            </w:r>
            <w:r>
              <w:rPr>
                <w:rFonts w:hint="eastAsia" w:ascii="宋体" w:hAnsi="宋体" w:cs="宋体"/>
                <w:color w:val="auto"/>
                <w:sz w:val="24"/>
                <w:lang w:val="en-US" w:eastAsia="zh-CN"/>
              </w:rPr>
              <w:t>并加盖公章</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361" w:type="pct"/>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2</w:t>
            </w:r>
          </w:p>
        </w:tc>
        <w:tc>
          <w:tcPr>
            <w:tcW w:w="711" w:type="pct"/>
            <w:gridSpan w:val="3"/>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投标人综合实力</w:t>
            </w:r>
          </w:p>
        </w:tc>
        <w:tc>
          <w:tcPr>
            <w:tcW w:w="325" w:type="pct"/>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color w:val="000000" w:themeColor="text1"/>
                <w:sz w:val="24"/>
                <w:lang w:val="en-US" w:eastAsia="zh-CN"/>
                <w14:textFill>
                  <w14:solidFill>
                    <w14:schemeClr w14:val="tx1"/>
                  </w14:solidFill>
                </w14:textFill>
              </w:rPr>
              <w:t>30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ind w:firstLine="480" w:firstLineChars="200"/>
              <w:rPr>
                <w:rFonts w:hint="eastAsia" w:ascii="宋体" w:hAnsi="宋体" w:cs="宋体"/>
                <w:color w:val="auto"/>
                <w:sz w:val="24"/>
              </w:rPr>
            </w:pPr>
            <w:r>
              <w:rPr>
                <w:rFonts w:hint="eastAsia" w:ascii="宋体" w:hAnsi="宋体" w:cs="宋体"/>
                <w:color w:val="auto"/>
                <w:sz w:val="24"/>
              </w:rPr>
              <w:t>1.供应商能够提供微服务平台、直播软件系统、社区教育应用管理系统、网络教育平台运营服务相应的软件著作权证书；（提供一个相关证明材料得5分，不提供不得分，满分20分）</w:t>
            </w:r>
          </w:p>
          <w:p>
            <w:pPr>
              <w:wordWrap w:val="0"/>
              <w:topLinePunct/>
              <w:spacing w:line="440" w:lineRule="exact"/>
              <w:ind w:firstLine="480" w:firstLineChars="200"/>
              <w:rPr>
                <w:rFonts w:hint="eastAsia" w:ascii="宋体" w:hAnsi="宋体" w:cs="宋体"/>
                <w:color w:val="auto"/>
                <w:sz w:val="24"/>
              </w:rPr>
            </w:pPr>
            <w:r>
              <w:rPr>
                <w:rFonts w:hint="eastAsia" w:ascii="宋体" w:hAnsi="宋体" w:cs="宋体"/>
                <w:color w:val="auto"/>
                <w:sz w:val="24"/>
              </w:rPr>
              <w:t>2.具备专业的摄影摄像团队，至少包含视频工程师，专业摄像师，数字媒体制作员</w:t>
            </w:r>
            <w:r>
              <w:rPr>
                <w:rFonts w:hint="eastAsia" w:ascii="宋体" w:hAnsi="宋体" w:cs="宋体"/>
                <w:color w:val="auto"/>
                <w:sz w:val="24"/>
                <w:lang w:val="en-US" w:eastAsia="zh-CN"/>
              </w:rPr>
              <w:t>各</w:t>
            </w:r>
            <w:r>
              <w:rPr>
                <w:rFonts w:hint="eastAsia" w:ascii="宋体" w:hAnsi="宋体" w:cs="宋体"/>
                <w:color w:val="auto"/>
                <w:sz w:val="24"/>
              </w:rPr>
              <w:t>一名。</w:t>
            </w:r>
            <w:r>
              <w:rPr>
                <w:rFonts w:hint="eastAsia" w:ascii="宋体" w:hAnsi="宋体" w:cs="宋体"/>
                <w:color w:val="auto"/>
                <w:sz w:val="24"/>
                <w:lang w:val="en-US" w:eastAsia="zh-CN"/>
              </w:rPr>
              <w:t>需提供劳动合同、投标前连续三个月、不含投标当月的社保证明（复印件需加盖公章）（此项5分，每提供一个人员劳动合同</w:t>
            </w:r>
            <w:r>
              <w:rPr>
                <w:rFonts w:hint="default" w:ascii="宋体" w:hAnsi="宋体" w:cs="宋体"/>
                <w:color w:val="auto"/>
                <w:sz w:val="24"/>
                <w:lang w:eastAsia="zh-CN"/>
              </w:rPr>
              <w:t>和</w:t>
            </w:r>
            <w:r>
              <w:rPr>
                <w:rFonts w:hint="eastAsia" w:ascii="宋体" w:hAnsi="宋体" w:cs="宋体"/>
                <w:color w:val="auto"/>
                <w:sz w:val="24"/>
                <w:lang w:val="en-US" w:eastAsia="zh-CN"/>
              </w:rPr>
              <w:t>社保证明得1分，全部提供得5分）。</w:t>
            </w:r>
          </w:p>
          <w:p>
            <w:pPr>
              <w:wordWrap w:val="0"/>
              <w:topLinePunct/>
              <w:spacing w:line="440" w:lineRule="exact"/>
              <w:ind w:firstLine="480" w:firstLineChars="200"/>
              <w:rPr>
                <w:rFonts w:hint="default" w:ascii="宋体" w:hAnsi="宋体" w:eastAsia="宋体" w:cs="宋体"/>
                <w:color w:val="auto"/>
                <w:sz w:val="24"/>
                <w:lang w:val="en-US" w:eastAsia="zh-CN"/>
              </w:rPr>
            </w:pPr>
            <w:r>
              <w:rPr>
                <w:rFonts w:hint="eastAsia" w:ascii="宋体" w:hAnsi="宋体" w:cs="宋体"/>
                <w:color w:val="auto"/>
                <w:sz w:val="24"/>
                <w:lang w:val="en-US" w:eastAsia="zh-CN"/>
              </w:rPr>
              <w:t>3.供应商具有高新技术企业证书的，得1分；供应商具有ISO质量管理体系认证证书的，得1分；供应商具有信息系统建设和服务能力等级证书的，得2分；供应商具有3A级企业信用等级证书的，得1分。满分5分。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072" w:type="pct"/>
            <w:gridSpan w:val="4"/>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合计</w:t>
            </w:r>
          </w:p>
        </w:tc>
        <w:tc>
          <w:tcPr>
            <w:tcW w:w="325" w:type="pct"/>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default" w:ascii="宋体" w:hAnsi="宋体" w:eastAsia="宋体" w:cs="宋体"/>
                <w:b/>
                <w:bCs/>
                <w:color w:val="000000" w:themeColor="text1"/>
                <w:sz w:val="24"/>
                <w:lang w:val="en-US" w:eastAsia="zh-CN"/>
                <w14:textFill>
                  <w14:solidFill>
                    <w14:schemeClr w14:val="tx1"/>
                  </w14:solidFill>
                </w14:textFill>
              </w:rPr>
            </w:pPr>
            <w:r>
              <w:rPr>
                <w:rFonts w:hint="eastAsia" w:ascii="宋体" w:hAnsi="宋体" w:cs="宋体"/>
                <w:b/>
                <w:bCs/>
                <w:color w:val="000000" w:themeColor="text1"/>
                <w:sz w:val="24"/>
                <w:lang w:val="en-US" w:eastAsia="zh-CN"/>
                <w14:textFill>
                  <w14:solidFill>
                    <w14:schemeClr w14:val="tx1"/>
                  </w14:solidFill>
                </w14:textFill>
              </w:rPr>
              <w:t>50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rPr>
                <w:rFonts w:ascii="宋体" w:hAnsi="宋体" w:cs="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5000" w:type="pct"/>
            <w:gridSpan w:val="9"/>
            <w:tcBorders>
              <w:top w:val="single" w:color="auto" w:sz="4" w:space="0"/>
              <w:left w:val="single" w:color="auto" w:sz="4" w:space="0"/>
              <w:bottom w:val="single" w:color="auto" w:sz="4" w:space="0"/>
              <w:right w:val="single" w:color="auto" w:sz="4" w:space="0"/>
            </w:tcBorders>
            <w:vAlign w:val="center"/>
          </w:tcPr>
          <w:p>
            <w:pPr>
              <w:jc w:val="center"/>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价格评审部分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397" w:type="pct"/>
            <w:gridSpan w:val="5"/>
            <w:tcBorders>
              <w:top w:val="single" w:color="auto" w:sz="4" w:space="0"/>
              <w:left w:val="single" w:color="auto" w:sz="4" w:space="0"/>
              <w:bottom w:val="single" w:color="auto" w:sz="4" w:space="0"/>
              <w:right w:val="single" w:color="auto" w:sz="4" w:space="0"/>
            </w:tcBorders>
            <w:vAlign w:val="center"/>
          </w:tcPr>
          <w:p>
            <w:pPr>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评分项目</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397" w:type="pct"/>
            <w:gridSpan w:val="5"/>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总报价</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pStyle w:val="10"/>
              <w:spacing w:beforeAutospacing="0" w:afterAutospacing="0"/>
              <w:ind w:firstLine="480" w:firstLineChars="200"/>
              <w:jc w:val="both"/>
              <w:rPr>
                <w:rFonts w:hint="eastAsia" w:ascii="宋体" w:hAnsi="宋体" w:eastAsia="宋体" w:cs="宋体"/>
                <w:kern w:val="2"/>
                <w:sz w:val="24"/>
                <w:szCs w:val="24"/>
                <w:vertAlign w:val="baseline"/>
                <w:lang w:val="zh-CN" w:eastAsia="zh-CN" w:bidi="ar-SA"/>
              </w:rPr>
            </w:pPr>
            <w:r>
              <w:rPr>
                <w:rFonts w:hint="eastAsia" w:ascii="宋体" w:hAnsi="宋体" w:eastAsia="宋体" w:cs="宋体"/>
                <w:kern w:val="2"/>
                <w:sz w:val="24"/>
                <w:szCs w:val="24"/>
                <w:vertAlign w:val="baseline"/>
                <w:lang w:val="zh-CN" w:eastAsia="zh-CN" w:bidi="ar-SA"/>
              </w:rPr>
              <w:t>满足本招标文件要求且报价最低的投标人的价格为评标基准价，其价格分为满分。其他投标人的价格统一按照下列公式计算：</w:t>
            </w:r>
          </w:p>
          <w:p>
            <w:pPr>
              <w:jc w:val="center"/>
              <w:rPr>
                <w:rFonts w:hint="default" w:eastAsia="宋体"/>
                <w:color w:val="000000" w:themeColor="text1"/>
                <w:sz w:val="24"/>
                <w:lang w:val="en-US" w:eastAsia="zh-CN"/>
                <w14:textFill>
                  <w14:solidFill>
                    <w14:schemeClr w14:val="tx1"/>
                  </w14:solidFill>
                </w14:textFill>
              </w:rPr>
            </w:pPr>
            <w:r>
              <w:rPr>
                <w:rFonts w:hint="eastAsia" w:ascii="宋体" w:hAnsi="宋体" w:eastAsia="宋体" w:cs="宋体"/>
                <w:kern w:val="2"/>
                <w:sz w:val="24"/>
                <w:szCs w:val="24"/>
                <w:vertAlign w:val="baseline"/>
                <w:lang w:val="zh-CN" w:eastAsia="zh-CN" w:bidi="ar-SA"/>
              </w:rPr>
              <w:t>投标报价得分=(评标基准价／投标报价)×价格</w:t>
            </w:r>
            <w:r>
              <w:rPr>
                <w:rFonts w:hint="eastAsia" w:ascii="宋体" w:hAnsi="宋体" w:eastAsia="宋体" w:cs="宋体"/>
                <w:kern w:val="2"/>
                <w:sz w:val="24"/>
                <w:szCs w:val="24"/>
                <w:vertAlign w:val="baseline"/>
                <w:lang w:val="en-US" w:eastAsia="zh-CN" w:bidi="ar-SA"/>
              </w:rPr>
              <w:t>分</w:t>
            </w:r>
            <w:r>
              <w:rPr>
                <w:rFonts w:hint="eastAsia" w:ascii="宋体" w:hAnsi="宋体" w:eastAsia="宋体" w:cs="宋体"/>
                <w:kern w:val="2"/>
                <w:sz w:val="24"/>
                <w:szCs w:val="24"/>
                <w:vertAlign w:val="baseline"/>
                <w:lang w:val="zh-CN" w:eastAsia="zh-CN" w:bidi="ar-SA"/>
              </w:rPr>
              <w:t>值（四舍五入取小数点后两位）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048" w:type="pct"/>
            <w:gridSpan w:val="3"/>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eastAsia" w:ascii="宋体" w:hAnsi="宋体" w:eastAsia="宋体" w:cs="宋体"/>
                <w:b/>
                <w:bCs/>
                <w:color w:val="000000" w:themeColor="text1"/>
                <w:sz w:val="24"/>
                <w:lang w:val="en-US" w:eastAsia="zh-CN"/>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合计</w:t>
            </w:r>
          </w:p>
        </w:tc>
        <w:tc>
          <w:tcPr>
            <w:tcW w:w="349" w:type="pct"/>
            <w:gridSpan w:val="2"/>
            <w:tcBorders>
              <w:top w:val="single" w:color="auto" w:sz="4" w:space="0"/>
              <w:left w:val="single" w:color="auto" w:sz="4" w:space="0"/>
              <w:bottom w:val="single" w:color="auto" w:sz="4" w:space="0"/>
              <w:right w:val="single" w:color="auto" w:sz="4" w:space="0"/>
            </w:tcBorders>
            <w:vAlign w:val="center"/>
          </w:tcPr>
          <w:p>
            <w:pPr>
              <w:wordWrap w:val="0"/>
              <w:topLinePunct/>
              <w:spacing w:line="440" w:lineRule="exact"/>
              <w:jc w:val="center"/>
              <w:rPr>
                <w:rFonts w:hint="default" w:ascii="宋体" w:hAnsi="宋体" w:eastAsia="宋体" w:cs="宋体"/>
                <w:b/>
                <w:bCs/>
                <w:color w:val="000000" w:themeColor="text1"/>
                <w:sz w:val="24"/>
                <w:lang w:val="en-US" w:eastAsia="zh-CN"/>
                <w14:textFill>
                  <w14:solidFill>
                    <w14:schemeClr w14:val="tx1"/>
                  </w14:solidFill>
                </w14:textFill>
              </w:rPr>
            </w:pPr>
            <w:r>
              <w:rPr>
                <w:rFonts w:hint="eastAsia" w:ascii="宋体" w:hAnsi="宋体" w:cs="宋体"/>
                <w:b/>
                <w:bCs/>
                <w:color w:val="000000" w:themeColor="text1"/>
                <w:sz w:val="24"/>
                <w:lang w:val="en-US" w:eastAsia="zh-CN"/>
                <w14:textFill>
                  <w14:solidFill>
                    <w14:schemeClr w14:val="tx1"/>
                  </w14:solidFill>
                </w14:textFill>
              </w:rPr>
              <w:t>20</w:t>
            </w:r>
          </w:p>
        </w:tc>
        <w:tc>
          <w:tcPr>
            <w:tcW w:w="3602" w:type="pct"/>
            <w:gridSpan w:val="4"/>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themeColor="text1"/>
                <w:sz w:val="24"/>
                <w:lang w:val="en-US" w:eastAsia="zh-CN"/>
                <w14:textFill>
                  <w14:solidFill>
                    <w14:schemeClr w14:val="tx1"/>
                  </w14:solidFill>
                </w14:textFill>
              </w:rPr>
            </w:pPr>
          </w:p>
        </w:tc>
      </w:tr>
      <w:bookmarkEnd w:id="12"/>
      <w:bookmarkEnd w:id="13"/>
      <w:bookmarkEnd w:id="14"/>
      <w:bookmarkEnd w:id="15"/>
      <w:bookmarkEnd w:id="16"/>
      <w:bookmarkEnd w:id="17"/>
    </w:tbl>
    <w:p>
      <w:pPr>
        <w:pStyle w:val="9"/>
        <w:rPr>
          <w:rFonts w:ascii="仿宋" w:hAnsi="仿宋" w:eastAsia="仿宋"/>
          <w:color w:val="000000"/>
          <w:sz w:val="28"/>
          <w:szCs w:val="28"/>
        </w:rPr>
      </w:pPr>
    </w:p>
    <w:p>
      <w:pPr>
        <w:pStyle w:val="9"/>
        <w:rPr>
          <w:rFonts w:ascii="仿宋" w:hAnsi="仿宋" w:eastAsia="仿宋"/>
          <w:color w:val="000000"/>
          <w:sz w:val="28"/>
          <w:szCs w:val="28"/>
        </w:rPr>
      </w:pPr>
    </w:p>
    <w:p/>
    <w:p/>
    <w:p/>
    <w:p/>
    <w:p/>
    <w:p/>
    <w:p/>
    <w:p/>
    <w:p/>
    <w:p/>
    <w:p/>
    <w:p/>
    <w:p/>
    <w:p/>
    <w:p/>
    <w:p/>
    <w:p/>
    <w:p/>
    <w:p/>
    <w:p/>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rPr>
      </w:pPr>
      <w:r>
        <w:rPr>
          <w:rFonts w:hint="eastAsia" w:ascii="宋体" w:hAnsi="宋体" w:eastAsia="宋体" w:cs="宋体"/>
          <w:b/>
          <w:bCs/>
          <w:i w:val="0"/>
          <w:iCs w:val="0"/>
          <w:caps w:val="0"/>
          <w:color w:val="000000"/>
          <w:spacing w:val="0"/>
          <w:sz w:val="36"/>
          <w:szCs w:val="36"/>
          <w:shd w:val="clear" w:fill="FFFFFF"/>
        </w:rPr>
        <w:t>202</w:t>
      </w:r>
      <w:r>
        <w:rPr>
          <w:rFonts w:hint="eastAsia" w:ascii="宋体" w:hAnsi="宋体" w:eastAsia="宋体" w:cs="宋体"/>
          <w:b/>
          <w:bCs/>
          <w:i w:val="0"/>
          <w:iCs w:val="0"/>
          <w:caps w:val="0"/>
          <w:color w:val="000000"/>
          <w:spacing w:val="0"/>
          <w:sz w:val="36"/>
          <w:szCs w:val="36"/>
          <w:shd w:val="clear" w:fill="FFFFFF"/>
          <w:lang w:val="en-US" w:eastAsia="zh-CN"/>
        </w:rPr>
        <w:t>5</w:t>
      </w:r>
      <w:r>
        <w:rPr>
          <w:rFonts w:hint="eastAsia" w:ascii="宋体" w:hAnsi="宋体" w:eastAsia="宋体" w:cs="宋体"/>
          <w:b/>
          <w:bCs/>
          <w:i w:val="0"/>
          <w:iCs w:val="0"/>
          <w:caps w:val="0"/>
          <w:color w:val="000000"/>
          <w:spacing w:val="0"/>
          <w:sz w:val="36"/>
          <w:szCs w:val="36"/>
          <w:shd w:val="clear" w:fill="FFFFFF"/>
        </w:rPr>
        <w:t>年海南终身学习网推广与运营项目</w:t>
      </w: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r>
        <w:rPr>
          <w:rFonts w:hint="eastAsia" w:ascii="宋体" w:hAnsi="宋体" w:eastAsia="宋体" w:cs="宋体"/>
          <w:b/>
          <w:bCs/>
          <w:i w:val="0"/>
          <w:iCs w:val="0"/>
          <w:caps w:val="0"/>
          <w:color w:val="000000"/>
          <w:spacing w:val="0"/>
          <w:sz w:val="36"/>
          <w:szCs w:val="36"/>
          <w:shd w:val="clear" w:fill="FFFFFF"/>
          <w:lang w:val="en-US" w:eastAsia="zh-CN"/>
        </w:rPr>
        <w:t>服务合同</w:t>
      </w: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602" w:firstLineChars="200"/>
        <w:jc w:val="left"/>
        <w:textAlignment w:val="auto"/>
        <w:outlineLvl w:val="0"/>
        <w:rPr>
          <w:rFonts w:hint="eastAsia" w:ascii="宋体" w:hAnsi="宋体"/>
          <w:b/>
          <w:sz w:val="30"/>
          <w:szCs w:val="30"/>
        </w:rPr>
      </w:pPr>
      <w:r>
        <w:rPr>
          <w:rFonts w:hint="eastAsia" w:ascii="宋体" w:hAnsi="宋体"/>
          <w:b/>
          <w:sz w:val="30"/>
          <w:szCs w:val="30"/>
        </w:rPr>
        <w:t>甲 方：</w:t>
      </w:r>
    </w:p>
    <w:p>
      <w:pPr>
        <w:keepNext w:val="0"/>
        <w:keepLines w:val="0"/>
        <w:pageBreakBefore w:val="0"/>
        <w:kinsoku/>
        <w:wordWrap/>
        <w:overflowPunct/>
        <w:topLinePunct w:val="0"/>
        <w:autoSpaceDE/>
        <w:autoSpaceDN/>
        <w:bidi w:val="0"/>
        <w:adjustRightInd/>
        <w:snapToGrid/>
        <w:ind w:firstLine="602" w:firstLineChars="200"/>
        <w:jc w:val="left"/>
        <w:textAlignment w:val="auto"/>
        <w:outlineLvl w:val="0"/>
        <w:rPr>
          <w:rFonts w:hint="eastAsia" w:ascii="宋体" w:hAnsi="宋体"/>
          <w:b/>
          <w:sz w:val="30"/>
          <w:szCs w:val="30"/>
        </w:rPr>
      </w:pPr>
      <w:r>
        <w:rPr>
          <w:rFonts w:hint="eastAsia" w:ascii="宋体" w:hAnsi="宋体"/>
          <w:b/>
          <w:sz w:val="30"/>
          <w:szCs w:val="30"/>
        </w:rPr>
        <w:t>地址：</w:t>
      </w: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hint="eastAsia" w:ascii="宋体" w:hAnsi="宋体"/>
          <w:b/>
          <w:sz w:val="30"/>
          <w:szCs w:val="30"/>
        </w:rPr>
      </w:pP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hint="eastAsia" w:ascii="宋体" w:hAnsi="宋体"/>
          <w:b/>
          <w:sz w:val="30"/>
          <w:szCs w:val="30"/>
        </w:rPr>
      </w:pP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hint="eastAsia" w:ascii="宋体" w:hAnsi="宋体"/>
          <w:b/>
          <w:sz w:val="30"/>
          <w:szCs w:val="30"/>
        </w:rPr>
      </w:pPr>
      <w:r>
        <w:rPr>
          <w:rFonts w:hint="eastAsia" w:ascii="宋体" w:hAnsi="宋体"/>
          <w:b/>
          <w:sz w:val="30"/>
          <w:szCs w:val="30"/>
        </w:rPr>
        <w:t>乙 方：</w:t>
      </w: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hint="eastAsia" w:ascii="宋体" w:hAnsi="宋体"/>
          <w:b/>
          <w:sz w:val="30"/>
          <w:szCs w:val="30"/>
        </w:rPr>
      </w:pPr>
      <w:r>
        <w:rPr>
          <w:rFonts w:hint="eastAsia" w:ascii="宋体" w:hAnsi="宋体"/>
          <w:b/>
          <w:sz w:val="30"/>
          <w:szCs w:val="30"/>
        </w:rPr>
        <w:t>地址：</w:t>
      </w: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hint="eastAsia" w:ascii="宋体" w:hAnsi="宋体"/>
          <w:b/>
          <w:sz w:val="30"/>
          <w:szCs w:val="30"/>
        </w:rPr>
      </w:pPr>
      <w:r>
        <w:rPr>
          <w:rFonts w:hint="eastAsia" w:ascii="宋体" w:hAnsi="宋体"/>
          <w:b/>
          <w:sz w:val="30"/>
          <w:szCs w:val="30"/>
        </w:rPr>
        <w:t>联系人：</w:t>
      </w:r>
    </w:p>
    <w:p>
      <w:pPr>
        <w:keepNext w:val="0"/>
        <w:keepLines w:val="0"/>
        <w:pageBreakBefore w:val="0"/>
        <w:kinsoku/>
        <w:wordWrap/>
        <w:overflowPunct/>
        <w:topLinePunct w:val="0"/>
        <w:autoSpaceDE/>
        <w:autoSpaceDN/>
        <w:bidi w:val="0"/>
        <w:adjustRightInd/>
        <w:snapToGrid/>
        <w:ind w:firstLine="602" w:firstLineChars="200"/>
        <w:textAlignment w:val="auto"/>
        <w:outlineLvl w:val="0"/>
        <w:rPr>
          <w:rFonts w:ascii="宋体" w:hAnsi="宋体"/>
          <w:b/>
          <w:sz w:val="30"/>
          <w:szCs w:val="30"/>
        </w:rPr>
      </w:pPr>
      <w:r>
        <w:rPr>
          <w:rFonts w:hint="eastAsia" w:ascii="宋体" w:hAnsi="宋体"/>
          <w:b/>
          <w:sz w:val="30"/>
          <w:szCs w:val="30"/>
        </w:rPr>
        <w:t>联系电话：</w:t>
      </w: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i w:val="0"/>
          <w:iCs w:val="0"/>
          <w:caps w:val="0"/>
          <w:color w:val="000000"/>
          <w:spacing w:val="0"/>
          <w:sz w:val="36"/>
          <w:szCs w:val="36"/>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48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48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甲方:</w:t>
      </w:r>
    </w:p>
    <w:p>
      <w:pPr>
        <w:keepNext w:val="0"/>
        <w:keepLines w:val="0"/>
        <w:pageBreakBefore w:val="0"/>
        <w:widowControl w:val="0"/>
        <w:kinsoku/>
        <w:wordWrap/>
        <w:overflowPunct/>
        <w:topLinePunct w:val="0"/>
        <w:autoSpaceDE/>
        <w:autoSpaceDN/>
        <w:bidi w:val="0"/>
        <w:adjustRightInd/>
        <w:snapToGrid/>
        <w:spacing w:line="48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乙方:</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根据《中华人民共和国民法典》、《中华人民共和国著作权法》和其他相关法律法规，甲乙双方就海南开放大学</w:t>
      </w:r>
      <w:r>
        <w:rPr>
          <w:rFonts w:hint="eastAsia" w:ascii="宋体" w:hAnsi="宋体" w:eastAsia="宋体" w:cs="宋体"/>
          <w:b w:val="0"/>
          <w:bCs w:val="0"/>
          <w:i w:val="0"/>
          <w:iCs w:val="0"/>
          <w:caps w:val="0"/>
          <w:color w:val="000000"/>
          <w:spacing w:val="0"/>
          <w:sz w:val="28"/>
          <w:szCs w:val="28"/>
          <w:u w:val="single"/>
          <w:shd w:val="clear" w:fill="FFFFFF"/>
          <w:lang w:val="en-US" w:eastAsia="zh-CN"/>
        </w:rPr>
        <w:t xml:space="preserve">          （项目名称）（项目编号：）</w:t>
      </w:r>
      <w:r>
        <w:rPr>
          <w:rFonts w:hint="eastAsia" w:ascii="宋体" w:hAnsi="宋体" w:eastAsia="宋体" w:cs="宋体"/>
          <w:b w:val="0"/>
          <w:bCs w:val="0"/>
          <w:i w:val="0"/>
          <w:iCs w:val="0"/>
          <w:caps w:val="0"/>
          <w:color w:val="000000"/>
          <w:spacing w:val="0"/>
          <w:sz w:val="28"/>
          <w:szCs w:val="28"/>
          <w:shd w:val="clear" w:fill="FFFFFF"/>
          <w:lang w:val="en-US" w:eastAsia="zh-CN"/>
        </w:rPr>
        <w:t>，经协商一致，签订本合同，达成如下意见，共同遵照执行：</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eastAsia" w:ascii="宋体" w:hAnsi="宋体" w:eastAsia="宋体" w:cs="宋体"/>
          <w:b/>
          <w:bCs/>
          <w:i w:val="0"/>
          <w:iCs w:val="0"/>
          <w:caps w:val="0"/>
          <w:color w:val="000000"/>
          <w:spacing w:val="0"/>
          <w:sz w:val="28"/>
          <w:szCs w:val="28"/>
          <w:shd w:val="clear" w:fill="FFFFFF"/>
          <w:lang w:val="en-US" w:eastAsia="zh-CN"/>
        </w:rPr>
      </w:pPr>
      <w:r>
        <w:rPr>
          <w:rFonts w:hint="eastAsia" w:ascii="宋体" w:hAnsi="宋体" w:eastAsia="宋体" w:cs="宋体"/>
          <w:b/>
          <w:bCs/>
          <w:i w:val="0"/>
          <w:iCs w:val="0"/>
          <w:caps w:val="0"/>
          <w:color w:val="000000"/>
          <w:spacing w:val="0"/>
          <w:sz w:val="28"/>
          <w:szCs w:val="28"/>
          <w:shd w:val="clear" w:fill="FFFFFF"/>
          <w:lang w:val="en-US" w:eastAsia="zh-CN"/>
        </w:rPr>
        <w:t>一、合同主要完成的内容</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1.服务内容:</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（1）海南各市县社区教育学院海南终身学习网平台管理员培训</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（2）海南终身学习网推广活动</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（3）课程活动报名媒体推送</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（4）协助升级平台</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（5）协助账号管理</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（6）资源管理</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（7）活动系统支持</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2.服务期限：1年（以合同签订之日起）。</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3.合同总金额：</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4.支付方式：合同生效后，乙方向甲方递交有效发票，</w:t>
      </w:r>
      <w:r>
        <w:rPr>
          <w:rFonts w:hint="eastAsia" w:ascii="宋体" w:hAnsi="宋体" w:eastAsia="宋体" w:cs="宋体"/>
          <w:b w:val="0"/>
          <w:bCs w:val="0"/>
          <w:i w:val="0"/>
          <w:iCs w:val="0"/>
          <w:caps w:val="0"/>
          <w:color w:val="auto"/>
          <w:spacing w:val="0"/>
          <w:sz w:val="28"/>
          <w:szCs w:val="28"/>
          <w:shd w:val="clear" w:fill="FFFFFF"/>
          <w:lang w:val="en-US" w:eastAsia="zh-CN"/>
        </w:rPr>
        <w:t>甲方于10个工作日内支付合同总额的50%共计人民币</w:t>
      </w:r>
      <w:r>
        <w:rPr>
          <w:rFonts w:hint="eastAsia" w:ascii="宋体" w:hAnsi="宋体" w:eastAsia="宋体" w:cs="宋体"/>
          <w:b w:val="0"/>
          <w:bCs w:val="0"/>
          <w:i w:val="0"/>
          <w:iCs w:val="0"/>
          <w:caps w:val="0"/>
          <w:color w:val="auto"/>
          <w:spacing w:val="0"/>
          <w:sz w:val="28"/>
          <w:szCs w:val="28"/>
          <w:u w:val="single"/>
          <w:shd w:val="clear" w:fill="FFFFFF"/>
          <w:lang w:val="en-US" w:eastAsia="zh-CN"/>
        </w:rPr>
        <w:t xml:space="preserve">            </w:t>
      </w:r>
      <w:r>
        <w:rPr>
          <w:rFonts w:hint="eastAsia" w:ascii="宋体" w:hAnsi="宋体" w:eastAsia="宋体" w:cs="宋体"/>
          <w:b w:val="0"/>
          <w:bCs w:val="0"/>
          <w:i w:val="0"/>
          <w:iCs w:val="0"/>
          <w:caps w:val="0"/>
          <w:color w:val="auto"/>
          <w:spacing w:val="0"/>
          <w:sz w:val="28"/>
          <w:szCs w:val="28"/>
          <w:u w:val="none"/>
          <w:shd w:val="clear" w:fill="FFFFFF"/>
          <w:lang w:val="en-US" w:eastAsia="zh-CN"/>
        </w:rPr>
        <w:t>（如若遇到假期，则付款顺延）</w:t>
      </w:r>
      <w:r>
        <w:rPr>
          <w:rFonts w:hint="eastAsia" w:ascii="宋体" w:hAnsi="宋体" w:eastAsia="宋体" w:cs="宋体"/>
          <w:b w:val="0"/>
          <w:bCs w:val="0"/>
          <w:i w:val="0"/>
          <w:iCs w:val="0"/>
          <w:caps w:val="0"/>
          <w:color w:val="auto"/>
          <w:spacing w:val="0"/>
          <w:sz w:val="28"/>
          <w:szCs w:val="28"/>
          <w:shd w:val="clear" w:fill="FFFFFF"/>
          <w:lang w:val="en-US" w:eastAsia="zh-CN"/>
        </w:rPr>
        <w:t>；完成不少于7个市县的宣传推广活动（需提供工作记录材料等）和不少于1期的省内各市县管理人员的培训，外加1场</w:t>
      </w:r>
      <w:r>
        <w:rPr>
          <w:rFonts w:hint="eastAsia" w:ascii="宋体" w:hAnsi="宋体" w:eastAsia="宋体" w:cs="宋体"/>
          <w:b w:val="0"/>
          <w:bCs w:val="0"/>
          <w:i w:val="0"/>
          <w:iCs w:val="0"/>
          <w:caps w:val="0"/>
          <w:color w:val="000000"/>
          <w:spacing w:val="0"/>
          <w:sz w:val="28"/>
          <w:szCs w:val="28"/>
          <w:shd w:val="clear" w:fill="FFFFFF"/>
          <w:lang w:val="en-US" w:eastAsia="zh-CN"/>
        </w:rPr>
        <w:t>课程活动报名媒体推送，</w:t>
      </w:r>
      <w:r>
        <w:rPr>
          <w:rFonts w:hint="eastAsia" w:ascii="宋体" w:hAnsi="宋体" w:eastAsia="宋体" w:cs="宋体"/>
          <w:b w:val="0"/>
          <w:bCs w:val="0"/>
          <w:i w:val="0"/>
          <w:iCs w:val="0"/>
          <w:caps w:val="0"/>
          <w:color w:val="auto"/>
          <w:spacing w:val="0"/>
          <w:sz w:val="28"/>
          <w:szCs w:val="28"/>
          <w:shd w:val="clear" w:fill="FFFFFF"/>
          <w:lang w:val="en-US" w:eastAsia="zh-CN"/>
        </w:rPr>
        <w:t>后5个工作日内支付合同总额的40%；剩余合同总金额的10%在本合同服务期满且验收</w:t>
      </w:r>
      <w:r>
        <w:rPr>
          <w:rFonts w:hint="eastAsia" w:ascii="宋体" w:hAnsi="宋体" w:eastAsia="宋体" w:cs="宋体"/>
          <w:b w:val="0"/>
          <w:bCs w:val="0"/>
          <w:i w:val="0"/>
          <w:iCs w:val="0"/>
          <w:caps w:val="0"/>
          <w:color w:val="000000"/>
          <w:spacing w:val="0"/>
          <w:sz w:val="28"/>
          <w:szCs w:val="28"/>
          <w:shd w:val="clear" w:fill="FFFFFF"/>
          <w:lang w:val="en-US" w:eastAsia="zh-CN"/>
        </w:rPr>
        <w:t>合格后7个工作日内支付。甲方每次付款前，乙方应先行开具等额合规增值税发票，否则甲方有权拒绝付款且不承担逾期付款责任。</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4.交付地点：甲方指定地点</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5.乙方银行资料如下：</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公司名称：</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银行账户：</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val="0"/>
          <w:bCs w:val="0"/>
          <w:i w:val="0"/>
          <w:iCs w:val="0"/>
          <w:caps w:val="0"/>
          <w:color w:val="000000"/>
          <w:spacing w:val="0"/>
          <w:sz w:val="28"/>
          <w:szCs w:val="28"/>
          <w:shd w:val="clear" w:fill="FFFFFF"/>
          <w:lang w:val="en-US" w:eastAsia="zh-CN"/>
        </w:rPr>
      </w:pPr>
      <w:r>
        <w:rPr>
          <w:rFonts w:hint="eastAsia" w:ascii="宋体" w:hAnsi="宋体" w:eastAsia="宋体" w:cs="宋体"/>
          <w:b w:val="0"/>
          <w:bCs w:val="0"/>
          <w:i w:val="0"/>
          <w:iCs w:val="0"/>
          <w:caps w:val="0"/>
          <w:color w:val="000000"/>
          <w:spacing w:val="0"/>
          <w:sz w:val="28"/>
          <w:szCs w:val="28"/>
          <w:shd w:val="clear" w:fill="FFFFFF"/>
          <w:lang w:val="en-US" w:eastAsia="zh-CN"/>
        </w:rPr>
        <w:t>开户行：</w:t>
      </w:r>
    </w:p>
    <w:p>
      <w:pPr>
        <w:pStyle w:val="11"/>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宋体" w:hAnsi="宋体" w:cs="宋体"/>
          <w:sz w:val="28"/>
          <w:szCs w:val="28"/>
          <w:lang w:eastAsia="zh-CN"/>
        </w:rPr>
      </w:pPr>
      <w:r>
        <w:rPr>
          <w:rFonts w:hint="eastAsia" w:ascii="宋体" w:hAnsi="宋体" w:cs="宋体"/>
          <w:sz w:val="28"/>
          <w:szCs w:val="28"/>
          <w:lang w:val="en-US" w:eastAsia="zh-CN"/>
        </w:rPr>
        <w:t>6.乙方应达到以下</w:t>
      </w:r>
      <w:r>
        <w:rPr>
          <w:rFonts w:ascii="宋体" w:hAnsi="宋体" w:eastAsia="宋体" w:cs="宋体"/>
          <w:sz w:val="28"/>
          <w:szCs w:val="28"/>
        </w:rPr>
        <w:t>服务要求</w:t>
      </w:r>
      <w:r>
        <w:rPr>
          <w:rFonts w:hint="eastAsia" w:ascii="宋体" w:hAnsi="宋体" w:cs="宋体"/>
          <w:sz w:val="28"/>
          <w:szCs w:val="28"/>
          <w:lang w:eastAsia="zh-CN"/>
        </w:rPr>
        <w:t>：</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eastAsia="宋体" w:cs="宋体"/>
          <w:sz w:val="28"/>
          <w:szCs w:val="28"/>
        </w:rPr>
      </w:pPr>
      <w:r>
        <w:rPr>
          <w:rFonts w:ascii="宋体" w:hAnsi="宋体" w:eastAsia="宋体" w:cs="宋体"/>
          <w:kern w:val="2"/>
          <w:sz w:val="28"/>
          <w:szCs w:val="28"/>
          <w:lang w:val="en-US" w:eastAsia="zh-CN" w:bidi="ar-SA"/>
        </w:rPr>
        <w:t>（1）</w:t>
      </w:r>
      <w:r>
        <w:rPr>
          <w:rFonts w:hint="eastAsia" w:ascii="宋体" w:hAnsi="宋体" w:eastAsia="宋体" w:cs="宋体"/>
          <w:sz w:val="28"/>
          <w:szCs w:val="28"/>
        </w:rPr>
        <w:t>海南各市县社区教育学院海南终身学习网平台管理员培训</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default" w:ascii="宋体" w:hAnsi="宋体" w:eastAsia="宋体" w:cs="宋体"/>
          <w:sz w:val="28"/>
          <w:szCs w:val="28"/>
          <w:lang w:val="en-US" w:eastAsia="zh-CN"/>
        </w:rPr>
      </w:pPr>
      <w:r>
        <w:rPr>
          <w:rFonts w:hint="eastAsia" w:ascii="宋体" w:hAnsi="宋体" w:eastAsia="宋体" w:cs="宋体"/>
          <w:sz w:val="28"/>
          <w:szCs w:val="28"/>
        </w:rPr>
        <w:t>合同服务期内，针对海南省全省社区教育学院海南终身学习网管理员，通过线上或线下混合教学的形式，提供不少于</w:t>
      </w:r>
      <w:r>
        <w:rPr>
          <w:rFonts w:hint="eastAsia" w:ascii="宋体" w:hAnsi="宋体" w:cs="宋体"/>
          <w:sz w:val="28"/>
          <w:szCs w:val="28"/>
          <w:lang w:val="en-US" w:eastAsia="zh-CN"/>
        </w:rPr>
        <w:t>1</w:t>
      </w:r>
      <w:r>
        <w:rPr>
          <w:rFonts w:hint="eastAsia" w:ascii="宋体" w:hAnsi="宋体" w:eastAsia="宋体" w:cs="宋体"/>
          <w:sz w:val="28"/>
          <w:szCs w:val="28"/>
        </w:rPr>
        <w:t>场平台运营培训会议；确保各市县管理员能熟练使用海南终身学习网平台；各市县海南终身学习网管理员遇到功能使用问题时，应在24小时内响应协助解决，如有必要将到现场进行指导；</w:t>
      </w:r>
      <w:r>
        <w:rPr>
          <w:rFonts w:hint="eastAsia" w:ascii="宋体" w:hAnsi="宋体" w:cs="宋体"/>
          <w:sz w:val="28"/>
          <w:szCs w:val="28"/>
          <w:lang w:val="en-US" w:eastAsia="zh-CN"/>
        </w:rPr>
        <w:t>须提供培训地点照片，培训资料，参与培训人员名单。</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2</w:t>
      </w:r>
      <w:r>
        <w:rPr>
          <w:rFonts w:hint="eastAsia" w:ascii="宋体" w:hAnsi="宋体" w:cs="宋体"/>
          <w:sz w:val="28"/>
          <w:szCs w:val="28"/>
          <w:lang w:eastAsia="zh-CN"/>
        </w:rPr>
        <w:t>）海南终身学习网推广活动</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eastAsia="zh-CN"/>
        </w:rPr>
        <w:t>在海南各市县开展10场海南终身学习网推广活动以及2场省级推广活动，活动形式可分为线上或线下，供应商应抓住各重大节日的契机，如端午节、重阳节、世界读书日等节日，开展社区居民文化活动，提高海南终身学习网使用率，及扩大海南终身学习网平台影响力，</w:t>
      </w:r>
      <w:r>
        <w:rPr>
          <w:rFonts w:hint="eastAsia" w:ascii="宋体" w:hAnsi="宋体" w:cs="宋体"/>
          <w:sz w:val="28"/>
          <w:szCs w:val="28"/>
          <w:lang w:val="en-US" w:eastAsia="zh-CN"/>
        </w:rPr>
        <w:t>需提供活动开展照片材料，社区教育负责人活动支持书。</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val="en-US" w:eastAsia="zh-CN"/>
        </w:rPr>
        <w:t>（3）课程活动报名媒体推送</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default" w:ascii="宋体" w:hAnsi="宋体" w:cs="宋体"/>
          <w:sz w:val="28"/>
          <w:szCs w:val="28"/>
          <w:lang w:val="en-US" w:eastAsia="zh-CN"/>
        </w:rPr>
      </w:pPr>
      <w:r>
        <w:rPr>
          <w:rFonts w:hint="default" w:ascii="宋体" w:hAnsi="宋体" w:cs="宋体"/>
          <w:sz w:val="28"/>
          <w:szCs w:val="28"/>
          <w:lang w:val="en-US" w:eastAsia="zh-CN"/>
        </w:rPr>
        <w:t>针对海南开放大学社区教育学院招生报名活动进行</w:t>
      </w:r>
      <w:r>
        <w:rPr>
          <w:rFonts w:hint="eastAsia" w:ascii="宋体" w:hAnsi="宋体" w:cs="宋体"/>
          <w:sz w:val="28"/>
          <w:szCs w:val="28"/>
          <w:lang w:val="en-US" w:eastAsia="zh-CN"/>
        </w:rPr>
        <w:t>1</w:t>
      </w:r>
      <w:r>
        <w:rPr>
          <w:rFonts w:hint="default" w:ascii="宋体" w:hAnsi="宋体" w:cs="宋体"/>
          <w:sz w:val="28"/>
          <w:szCs w:val="28"/>
          <w:lang w:val="en-US" w:eastAsia="zh-CN"/>
        </w:rPr>
        <w:t>次媒体推送宣传，提高海南开放大学社区教育学院课程的知名度</w:t>
      </w:r>
      <w:r>
        <w:rPr>
          <w:rFonts w:hint="eastAsia" w:ascii="宋体" w:hAnsi="宋体" w:cs="宋体"/>
          <w:sz w:val="28"/>
          <w:szCs w:val="28"/>
          <w:lang w:val="en-US" w:eastAsia="zh-CN"/>
        </w:rPr>
        <w:t>。</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val="en-US" w:eastAsia="zh-CN"/>
        </w:rPr>
        <w:t>（4）协助升级平台</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default" w:ascii="宋体" w:hAnsi="宋体" w:cs="宋体"/>
          <w:sz w:val="28"/>
          <w:szCs w:val="28"/>
          <w:lang w:val="en-US" w:eastAsia="zh-CN"/>
        </w:rPr>
        <w:t>协助海南开放大学处理海南终身学习网平台功能问题，针对平台较为落后、不够便捷的功能提出整改方案，对于较为严重的功能问题，如网站崩溃、资源无法上传等问题，应及时向海南开放大学反馈，向该平台建设单位发出整改报告</w:t>
      </w:r>
      <w:r>
        <w:rPr>
          <w:rFonts w:hint="eastAsia" w:ascii="宋体" w:hAnsi="宋体" w:cs="宋体"/>
          <w:sz w:val="28"/>
          <w:szCs w:val="28"/>
          <w:lang w:val="en-US" w:eastAsia="zh-CN"/>
        </w:rPr>
        <w:t>。</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val="en-US" w:eastAsia="zh-CN"/>
        </w:rPr>
        <w:t>（5）协助账号管理</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default" w:ascii="宋体" w:hAnsi="宋体" w:cs="宋体"/>
          <w:sz w:val="28"/>
          <w:szCs w:val="28"/>
          <w:lang w:val="en-US" w:eastAsia="zh-CN"/>
        </w:rPr>
        <w:t>协助做好各市县海南终身学习网管理员的账号管理工作，确保海南终身学习网平台各市县管理人员账号能正常使用，如有平台管理员变更应及时上报并提醒管理员做好账号交接工作</w:t>
      </w:r>
      <w:r>
        <w:rPr>
          <w:rFonts w:hint="eastAsia" w:ascii="宋体" w:hAnsi="宋体" w:cs="宋体"/>
          <w:sz w:val="28"/>
          <w:szCs w:val="28"/>
          <w:lang w:val="en-US" w:eastAsia="zh-CN"/>
        </w:rPr>
        <w:t>。</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val="en-US" w:eastAsia="zh-CN"/>
        </w:rPr>
        <w:t>（6）资源管理</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default" w:ascii="宋体" w:hAnsi="宋体" w:cs="宋体"/>
          <w:sz w:val="28"/>
          <w:szCs w:val="28"/>
          <w:lang w:val="en-US" w:eastAsia="zh-CN"/>
        </w:rPr>
      </w:pPr>
      <w:r>
        <w:rPr>
          <w:rFonts w:hint="default" w:ascii="宋体" w:hAnsi="宋体" w:cs="宋体"/>
          <w:sz w:val="28"/>
          <w:szCs w:val="28"/>
          <w:lang w:val="en-US" w:eastAsia="zh-CN"/>
        </w:rPr>
        <w:t>协助海南开放大学管理海南终身学习网平台的内部资源，包括各市县上传的新闻资讯，开放大学开展的校内活动、线上课程资源、师生风采等内容；上传的内容需做到格式统一，内容精美，上传的资源需进行细致审核，确保资讯内容无意识形态问题，如遇到以上问题，需及时上报海南开放大学，进行下架等操作，避免恶劣影响进一步扩大，做好相应问题记录，并提供整改方案。</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cs="宋体"/>
          <w:sz w:val="28"/>
          <w:szCs w:val="28"/>
          <w:lang w:val="en-US" w:eastAsia="zh-CN"/>
        </w:rPr>
      </w:pPr>
      <w:r>
        <w:rPr>
          <w:rFonts w:hint="eastAsia" w:ascii="宋体" w:hAnsi="宋体" w:cs="宋体"/>
          <w:sz w:val="28"/>
          <w:szCs w:val="28"/>
          <w:lang w:val="en-US" w:eastAsia="zh-CN"/>
        </w:rPr>
        <w:t>（7）活动系统支持</w:t>
      </w:r>
    </w:p>
    <w:p>
      <w:pPr>
        <w:pStyle w:val="11"/>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default" w:ascii="宋体" w:hAnsi="宋体" w:cs="宋体"/>
          <w:sz w:val="28"/>
          <w:szCs w:val="28"/>
          <w:lang w:val="en-US" w:eastAsia="zh-CN"/>
        </w:rPr>
      </w:pPr>
      <w:r>
        <w:rPr>
          <w:rFonts w:hint="default" w:ascii="宋体" w:hAnsi="宋体" w:cs="宋体"/>
          <w:sz w:val="28"/>
          <w:szCs w:val="28"/>
          <w:lang w:val="en-US" w:eastAsia="zh-CN"/>
        </w:rPr>
        <w:t>提供可支持海南终身学习网开展相应活动的活动系统及相关证书材料，包括：微服务平台、直播引擎、社区教育应用管理系统、网络教育平台运营服务等。</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二、验收、支付条款</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乙方服务期满后，由甲方组织验收小组，填写《验收表》，验收通过后，甲方凭该合同复印件和《验收表》(复印件)、乙方先行开具的等额合规增值税发票按本合同约定支付乙方相关费用。乙方未先行提供发票，甲方有权拒绝付款且不承担任何逾期付款责任。</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2.验收标准:</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(1)提供的服务数量符合要求;</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(2)提供的服务质量符合要求;</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(3)提供的服务质量达到招标文件中采购课程资源技术参数要求:</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3.在乙方服务期满后5个工作日内，若甲方没有提出书面异议，视为甲方验收通过。</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三、违约责任</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1.乙方需在服务期内完成，若因乙方责任不能按时完成，甲方有权解除合同，要求乙方返还甲方已付款项，并向甲方支付合同总金额20%的违约金。</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2.服务期满且验收合格后，如甲方无正当理由未付款，每迟延一日，甲方应向乙方额外支付迟延支付款项的万分之一作为违约金。</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若提供的服务未通过甲方验收，乙方可根据甲方书面反馈意见，在7个工作日内完成反馈意见的修改，并再次交与甲方验收。若仍不能通过甲方验收，甲方有权解除合同，甲方无需向乙方支付任何费用，乙方须向甲方支付合同总金额20%的违约金。</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四</w:t>
      </w:r>
      <w:r>
        <w:rPr>
          <w:rFonts w:hint="default" w:ascii="宋体" w:hAnsi="宋体" w:eastAsia="宋体" w:cs="宋体"/>
          <w:b/>
          <w:bCs/>
          <w:sz w:val="28"/>
          <w:szCs w:val="28"/>
          <w:lang w:val="en-US" w:eastAsia="zh-CN"/>
        </w:rPr>
        <w:t>、</w:t>
      </w:r>
      <w:r>
        <w:rPr>
          <w:rFonts w:hint="eastAsia" w:ascii="宋体" w:hAnsi="宋体" w:eastAsia="宋体" w:cs="宋体"/>
          <w:b/>
          <w:bCs/>
          <w:sz w:val="28"/>
          <w:szCs w:val="28"/>
          <w:lang w:val="en-US" w:eastAsia="zh-CN"/>
        </w:rPr>
        <w:t>不可抗力</w:t>
      </w:r>
    </w:p>
    <w:p>
      <w:pPr>
        <w:pStyle w:val="6"/>
        <w:keepNext w:val="0"/>
        <w:keepLines w:val="0"/>
        <w:pageBreakBefore w:val="0"/>
        <w:kinsoku/>
        <w:wordWrap/>
        <w:overflowPunct/>
        <w:topLinePunct w:val="0"/>
        <w:autoSpaceDE/>
        <w:autoSpaceDN/>
        <w:bidi w:val="0"/>
        <w:adjustRightInd/>
        <w:snapToGrid/>
        <w:spacing w:before="156" w:beforeLines="50" w:after="156" w:afterLines="50" w:line="360" w:lineRule="auto"/>
        <w:ind w:firstLine="560" w:firstLineChars="200"/>
        <w:textAlignment w:val="auto"/>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1</w:t>
      </w:r>
      <w:r>
        <w:rPr>
          <w:rFonts w:hint="eastAsia" w:hAnsi="宋体" w:eastAsia="宋体" w:cs="宋体"/>
          <w:kern w:val="2"/>
          <w:sz w:val="28"/>
          <w:szCs w:val="28"/>
          <w:lang w:val="en-US" w:eastAsia="zh-CN" w:bidi="ar-SA"/>
        </w:rPr>
        <w:t>.</w:t>
      </w:r>
      <w:r>
        <w:rPr>
          <w:rFonts w:hint="eastAsia" w:ascii="宋体" w:hAnsi="宋体" w:eastAsia="宋体" w:cs="宋体"/>
          <w:kern w:val="2"/>
          <w:sz w:val="28"/>
          <w:szCs w:val="28"/>
          <w:lang w:val="en-US" w:eastAsia="zh-CN" w:bidi="ar-SA"/>
        </w:rPr>
        <w:t>“不可抗力”是指双方不能合理控制、不可预见或即使预见亦无法避免的事件，该事件妨碍、影响或延误任何一方根据本合同履行其全部或部分义务。该事件包括但不限于地震、台风、洪水、火灾或其他天灾、战争、骚乱、罢工、恶性传染病、电力中断、黑客攻击、法律或政策改变或任何其他类似事件。</w:t>
      </w:r>
    </w:p>
    <w:p>
      <w:pPr>
        <w:pStyle w:val="6"/>
        <w:keepNext w:val="0"/>
        <w:keepLines w:val="0"/>
        <w:pageBreakBefore w:val="0"/>
        <w:kinsoku/>
        <w:wordWrap/>
        <w:overflowPunct/>
        <w:topLinePunct w:val="0"/>
        <w:autoSpaceDE/>
        <w:autoSpaceDN/>
        <w:bidi w:val="0"/>
        <w:adjustRightInd/>
        <w:snapToGrid/>
        <w:spacing w:before="156" w:beforeLines="50" w:after="156" w:afterLines="50" w:line="360" w:lineRule="auto"/>
        <w:ind w:firstLine="560" w:firstLineChars="200"/>
        <w:textAlignment w:val="auto"/>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w:t>
      </w:r>
      <w:r>
        <w:rPr>
          <w:rFonts w:hint="eastAsia" w:hAnsi="宋体" w:eastAsia="宋体" w:cs="宋体"/>
          <w:kern w:val="2"/>
          <w:sz w:val="28"/>
          <w:szCs w:val="28"/>
          <w:lang w:val="en-US" w:eastAsia="zh-CN" w:bidi="ar-SA"/>
        </w:rPr>
        <w:t>.</w:t>
      </w:r>
      <w:r>
        <w:rPr>
          <w:rFonts w:hint="eastAsia" w:ascii="宋体" w:hAnsi="宋体" w:eastAsia="宋体" w:cs="宋体"/>
          <w:kern w:val="2"/>
          <w:sz w:val="28"/>
          <w:szCs w:val="28"/>
          <w:lang w:val="en-US" w:eastAsia="zh-CN" w:bidi="ar-SA"/>
        </w:rPr>
        <w:t>如发生不可抗力事件，遭受该事件的一方应立即用可能的最快捷的方式通知对方，并在十五日内提供证明文件说明该事件的细节和不能履行或部分不能履行或延迟履行本合同的原因，然后由双方协商是否延期履行本合同或终止本合同。因不可抗力原因未履行合同的，未履行一方对另一方不承担违约</w:t>
      </w:r>
      <w:r>
        <w:rPr>
          <w:rFonts w:hint="eastAsia" w:hAnsi="宋体" w:eastAsia="宋体" w:cs="宋体"/>
          <w:kern w:val="2"/>
          <w:sz w:val="28"/>
          <w:szCs w:val="28"/>
          <w:lang w:val="en-US" w:eastAsia="zh-CN" w:bidi="ar-SA"/>
        </w:rPr>
        <w:t>责</w:t>
      </w:r>
      <w:r>
        <w:rPr>
          <w:rFonts w:hint="eastAsia" w:ascii="宋体" w:hAnsi="宋体" w:eastAsia="宋体" w:cs="宋体"/>
          <w:kern w:val="2"/>
          <w:sz w:val="28"/>
          <w:szCs w:val="28"/>
          <w:lang w:val="en-US" w:eastAsia="zh-CN" w:bidi="ar-SA"/>
        </w:rPr>
        <w:t>任。</w:t>
      </w:r>
    </w:p>
    <w:p>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五</w:t>
      </w:r>
      <w:r>
        <w:rPr>
          <w:rFonts w:hint="default" w:ascii="宋体" w:hAnsi="宋体" w:eastAsia="宋体" w:cs="宋体"/>
          <w:b/>
          <w:bCs/>
          <w:sz w:val="28"/>
          <w:szCs w:val="28"/>
          <w:lang w:val="en-US" w:eastAsia="zh-CN"/>
        </w:rPr>
        <w:t>、争议的解决办法</w:t>
      </w:r>
    </w:p>
    <w:p>
      <w:pPr>
        <w:pStyle w:val="11"/>
        <w:keepNext w:val="0"/>
        <w:keepLines w:val="0"/>
        <w:pageBreakBefore w:val="0"/>
        <w:kinsoku/>
        <w:wordWrap/>
        <w:overflowPunct/>
        <w:topLinePunct w:val="0"/>
        <w:autoSpaceDE/>
        <w:autoSpaceDN/>
        <w:bidi w:val="0"/>
        <w:adjustRightInd/>
        <w:snapToGrid/>
        <w:ind w:left="0" w:leftChars="0" w:firstLine="560" w:firstLineChars="200"/>
        <w:textAlignment w:val="auto"/>
        <w:rPr>
          <w:rFonts w:hint="default" w:ascii="宋体" w:hAnsi="宋体" w:eastAsia="宋体" w:cs="宋体"/>
          <w:kern w:val="2"/>
          <w:sz w:val="28"/>
          <w:szCs w:val="28"/>
          <w:lang w:val="en-US" w:eastAsia="zh-CN" w:bidi="ar-SA"/>
        </w:rPr>
      </w:pPr>
      <w:r>
        <w:rPr>
          <w:rFonts w:hint="default" w:ascii="宋体" w:hAnsi="宋体" w:eastAsia="宋体" w:cs="宋体"/>
          <w:kern w:val="2"/>
          <w:sz w:val="28"/>
          <w:szCs w:val="28"/>
          <w:lang w:val="en-US" w:eastAsia="zh-CN" w:bidi="ar-SA"/>
        </w:rPr>
        <w:t>1.合同履行过程中，如一方提议对合同做修改或补充，必须在所需更改的内容生效十日以前提出，经得另一方同意并鉴定、补充合同书后进行</w:t>
      </w:r>
    </w:p>
    <w:p>
      <w:pPr>
        <w:pStyle w:val="11"/>
        <w:keepNext w:val="0"/>
        <w:keepLines w:val="0"/>
        <w:pageBreakBefore w:val="0"/>
        <w:kinsoku/>
        <w:wordWrap/>
        <w:overflowPunct/>
        <w:topLinePunct w:val="0"/>
        <w:autoSpaceDE/>
        <w:autoSpaceDN/>
        <w:bidi w:val="0"/>
        <w:adjustRightInd/>
        <w:snapToGrid/>
        <w:ind w:left="0" w:leftChars="0" w:firstLine="560" w:firstLineChars="200"/>
        <w:textAlignment w:val="auto"/>
        <w:rPr>
          <w:rFonts w:hint="default" w:ascii="宋体" w:hAnsi="宋体" w:eastAsia="宋体" w:cs="宋体"/>
          <w:kern w:val="2"/>
          <w:sz w:val="28"/>
          <w:szCs w:val="28"/>
          <w:lang w:val="en-US" w:eastAsia="zh-CN" w:bidi="ar-SA"/>
        </w:rPr>
      </w:pPr>
      <w:r>
        <w:rPr>
          <w:rFonts w:hint="default" w:ascii="宋体" w:hAnsi="宋体" w:eastAsia="宋体" w:cs="宋体"/>
          <w:kern w:val="2"/>
          <w:sz w:val="28"/>
          <w:szCs w:val="28"/>
          <w:lang w:val="en-US" w:eastAsia="zh-CN" w:bidi="ar-SA"/>
        </w:rPr>
        <w:t>2.合同执行过程中双方如有争议，应友好协商解决，协商不成，向甲方所在地有管辖权的人民法院起诉，由此产生的费用包括但不限于受理费、律师费、保全费等均由违约方承担。</w:t>
      </w:r>
    </w:p>
    <w:p>
      <w:pPr>
        <w:pStyle w:val="11"/>
        <w:keepNext w:val="0"/>
        <w:keepLines w:val="0"/>
        <w:pageBreakBefore w:val="0"/>
        <w:widowControl w:val="0"/>
        <w:kinsoku/>
        <w:wordWrap/>
        <w:overflowPunct/>
        <w:topLinePunct w:val="0"/>
        <w:autoSpaceDE/>
        <w:autoSpaceDN/>
        <w:bidi w:val="0"/>
        <w:adjustRightInd/>
        <w:snapToGrid/>
        <w:ind w:left="0" w:leftChars="0" w:firstLine="562" w:firstLineChars="200"/>
        <w:textAlignment w:val="auto"/>
        <w:rPr>
          <w:rFonts w:hint="default" w:ascii="宋体" w:hAnsi="宋体" w:eastAsia="宋体" w:cs="宋体"/>
          <w:b/>
          <w:bCs/>
          <w:kern w:val="2"/>
          <w:sz w:val="28"/>
          <w:szCs w:val="28"/>
          <w:lang w:val="en-US" w:eastAsia="zh-CN" w:bidi="ar-SA"/>
        </w:rPr>
      </w:pPr>
      <w:r>
        <w:rPr>
          <w:rFonts w:hint="eastAsia" w:ascii="宋体" w:hAnsi="宋体" w:cs="宋体"/>
          <w:b/>
          <w:bCs/>
          <w:kern w:val="2"/>
          <w:sz w:val="28"/>
          <w:szCs w:val="28"/>
          <w:lang w:val="en-US" w:eastAsia="zh-CN" w:bidi="ar-SA"/>
        </w:rPr>
        <w:t>六</w:t>
      </w:r>
      <w:r>
        <w:rPr>
          <w:rFonts w:hint="default" w:ascii="宋体" w:hAnsi="宋体" w:eastAsia="宋体" w:cs="宋体"/>
          <w:b/>
          <w:bCs/>
          <w:kern w:val="2"/>
          <w:sz w:val="28"/>
          <w:szCs w:val="28"/>
          <w:lang w:val="en-US" w:eastAsia="zh-CN" w:bidi="ar-SA"/>
        </w:rPr>
        <w:t>、其他</w:t>
      </w:r>
    </w:p>
    <w:p>
      <w:pPr>
        <w:pStyle w:val="11"/>
        <w:keepNext w:val="0"/>
        <w:keepLines w:val="0"/>
        <w:pageBreakBefore w:val="0"/>
        <w:kinsoku/>
        <w:wordWrap/>
        <w:overflowPunct/>
        <w:topLinePunct w:val="0"/>
        <w:autoSpaceDE/>
        <w:autoSpaceDN/>
        <w:bidi w:val="0"/>
        <w:adjustRightInd/>
        <w:snapToGrid/>
        <w:ind w:left="0" w:leftChars="0" w:firstLine="560" w:firstLineChars="200"/>
        <w:textAlignment w:val="auto"/>
        <w:rPr>
          <w:rFonts w:hint="eastAsia" w:ascii="宋体" w:hAnsi="宋体" w:eastAsia="宋体" w:cs="宋体"/>
          <w:kern w:val="2"/>
          <w:sz w:val="28"/>
          <w:szCs w:val="28"/>
          <w:lang w:val="en-US" w:eastAsia="zh-CN" w:bidi="ar-SA"/>
        </w:rPr>
      </w:pPr>
      <w:r>
        <w:rPr>
          <w:rFonts w:hint="default" w:ascii="宋体" w:hAnsi="宋体" w:eastAsia="宋体" w:cs="宋体"/>
          <w:kern w:val="2"/>
          <w:sz w:val="28"/>
          <w:szCs w:val="28"/>
          <w:lang w:val="en-US" w:eastAsia="zh-CN" w:bidi="ar-SA"/>
        </w:rPr>
        <w:t>1</w:t>
      </w:r>
      <w:r>
        <w:rPr>
          <w:rFonts w:hint="eastAsia" w:ascii="宋体" w:hAnsi="宋体" w:cs="宋体"/>
          <w:kern w:val="2"/>
          <w:sz w:val="28"/>
          <w:szCs w:val="28"/>
          <w:lang w:val="en-US" w:eastAsia="zh-CN" w:bidi="ar-SA"/>
        </w:rPr>
        <w:t>.</w:t>
      </w:r>
      <w:r>
        <w:rPr>
          <w:rFonts w:hint="eastAsia" w:ascii="宋体" w:hAnsi="宋体" w:eastAsia="宋体" w:cs="宋体"/>
          <w:kern w:val="2"/>
          <w:sz w:val="28"/>
          <w:szCs w:val="28"/>
          <w:lang w:val="en-US" w:eastAsia="zh-CN" w:bidi="ar-SA"/>
        </w:rPr>
        <w:t>本合同未尽事宜，或本合同变更，由双方协商并以书面方式加以确定。</w:t>
      </w:r>
    </w:p>
    <w:p>
      <w:pPr>
        <w:pStyle w:val="11"/>
        <w:keepNext w:val="0"/>
        <w:keepLines w:val="0"/>
        <w:pageBreakBefore w:val="0"/>
        <w:kinsoku/>
        <w:wordWrap/>
        <w:overflowPunct/>
        <w:topLinePunct w:val="0"/>
        <w:autoSpaceDE/>
        <w:autoSpaceDN/>
        <w:bidi w:val="0"/>
        <w:adjustRightInd/>
        <w:snapToGrid/>
        <w:ind w:left="0" w:leftChars="0" w:firstLine="560" w:firstLineChars="200"/>
        <w:textAlignment w:val="auto"/>
        <w:rPr>
          <w:rFonts w:hint="default" w:ascii="宋体" w:hAnsi="宋体" w:eastAsia="宋体" w:cs="宋体"/>
          <w:kern w:val="2"/>
          <w:sz w:val="28"/>
          <w:szCs w:val="28"/>
          <w:lang w:val="en-US" w:eastAsia="zh-CN" w:bidi="ar-SA"/>
        </w:rPr>
      </w:pPr>
      <w:r>
        <w:rPr>
          <w:rFonts w:hint="eastAsia" w:ascii="宋体" w:hAnsi="宋体" w:cs="宋体"/>
          <w:kern w:val="2"/>
          <w:sz w:val="28"/>
          <w:szCs w:val="28"/>
          <w:lang w:val="en-US" w:eastAsia="zh-CN" w:bidi="ar-SA"/>
        </w:rPr>
        <w:t>2.</w:t>
      </w:r>
      <w:r>
        <w:rPr>
          <w:rFonts w:hint="default" w:ascii="宋体" w:hAnsi="宋体" w:eastAsia="宋体" w:cs="宋体"/>
          <w:kern w:val="2"/>
          <w:sz w:val="28"/>
          <w:szCs w:val="28"/>
          <w:lang w:val="en-US" w:eastAsia="zh-CN" w:bidi="ar-SA"/>
        </w:rPr>
        <w:t>本合同自双方签字盖章之日起生效。</w:t>
      </w:r>
    </w:p>
    <w:p>
      <w:pPr>
        <w:pStyle w:val="11"/>
        <w:keepNext w:val="0"/>
        <w:keepLines w:val="0"/>
        <w:pageBreakBefore w:val="0"/>
        <w:widowControl w:val="0"/>
        <w:kinsoku/>
        <w:wordWrap/>
        <w:overflowPunct/>
        <w:topLinePunct w:val="0"/>
        <w:autoSpaceDE/>
        <w:autoSpaceDN/>
        <w:bidi w:val="0"/>
        <w:adjustRightInd/>
        <w:snapToGrid/>
        <w:ind w:left="0" w:leftChars="0" w:firstLine="560" w:firstLineChars="200"/>
        <w:textAlignment w:val="auto"/>
        <w:rPr>
          <w:rFonts w:hint="eastAsia" w:ascii="宋体" w:hAnsi="宋体" w:cs="宋体"/>
          <w:b/>
          <w:bCs/>
          <w:kern w:val="2"/>
          <w:sz w:val="28"/>
          <w:szCs w:val="28"/>
          <w:lang w:val="en-US" w:eastAsia="zh-CN" w:bidi="ar-SA"/>
        </w:rPr>
      </w:pPr>
      <w:r>
        <w:rPr>
          <w:rFonts w:hint="eastAsia" w:ascii="宋体" w:hAnsi="宋体" w:cs="宋体"/>
          <w:kern w:val="2"/>
          <w:sz w:val="28"/>
          <w:szCs w:val="28"/>
          <w:lang w:val="en-US" w:eastAsia="zh-CN" w:bidi="ar-SA"/>
        </w:rPr>
        <w:t>3</w:t>
      </w:r>
      <w:r>
        <w:rPr>
          <w:rFonts w:hint="default" w:ascii="宋体" w:hAnsi="宋体" w:eastAsia="宋体" w:cs="宋体"/>
          <w:kern w:val="2"/>
          <w:sz w:val="28"/>
          <w:szCs w:val="28"/>
          <w:lang w:val="en-US" w:eastAsia="zh-CN" w:bidi="ar-SA"/>
        </w:rPr>
        <w:t>.本合同正本一式伍份，甲方存叁份，乙方存贰份</w:t>
      </w:r>
      <w:r>
        <w:rPr>
          <w:rFonts w:hint="eastAsia" w:ascii="宋体" w:hAnsi="宋体" w:cs="宋体"/>
          <w:kern w:val="2"/>
          <w:sz w:val="28"/>
          <w:szCs w:val="28"/>
          <w:lang w:val="en-US" w:eastAsia="zh-CN" w:bidi="ar-SA"/>
        </w:rPr>
        <w:t>，</w:t>
      </w:r>
      <w:r>
        <w:rPr>
          <w:rFonts w:hint="default" w:ascii="宋体" w:hAnsi="宋体" w:eastAsia="宋体" w:cs="宋体"/>
          <w:kern w:val="2"/>
          <w:sz w:val="28"/>
          <w:szCs w:val="28"/>
          <w:lang w:val="en-US" w:eastAsia="zh-CN" w:bidi="ar-SA"/>
        </w:rPr>
        <w:t>具有同等法律效力。</w:t>
      </w:r>
    </w:p>
    <w:p>
      <w:pPr>
        <w:pStyle w:val="11"/>
        <w:keepNext w:val="0"/>
        <w:keepLines w:val="0"/>
        <w:pageBreakBefore w:val="0"/>
        <w:widowControl w:val="0"/>
        <w:kinsoku/>
        <w:wordWrap/>
        <w:overflowPunct/>
        <w:topLinePunct w:val="0"/>
        <w:autoSpaceDE/>
        <w:autoSpaceDN/>
        <w:bidi w:val="0"/>
        <w:adjustRightInd/>
        <w:snapToGrid/>
        <w:ind w:left="0" w:leftChars="0" w:firstLine="562" w:firstLineChars="200"/>
        <w:textAlignment w:val="auto"/>
        <w:rPr>
          <w:rFonts w:hint="default" w:ascii="宋体" w:hAnsi="宋体" w:eastAsia="宋体" w:cs="宋体"/>
          <w:b/>
          <w:bCs/>
          <w:kern w:val="2"/>
          <w:sz w:val="28"/>
          <w:szCs w:val="28"/>
          <w:lang w:val="en-US" w:eastAsia="zh-CN" w:bidi="ar-SA"/>
        </w:rPr>
      </w:pPr>
      <w:r>
        <w:rPr>
          <w:rFonts w:hint="eastAsia" w:ascii="宋体" w:hAnsi="宋体" w:cs="宋体"/>
          <w:b/>
          <w:bCs/>
          <w:kern w:val="2"/>
          <w:sz w:val="28"/>
          <w:szCs w:val="28"/>
          <w:lang w:val="en-US" w:eastAsia="zh-CN" w:bidi="ar-SA"/>
        </w:rPr>
        <w:t>七</w:t>
      </w:r>
      <w:r>
        <w:rPr>
          <w:rFonts w:hint="default" w:ascii="宋体" w:hAnsi="宋体" w:eastAsia="宋体" w:cs="宋体"/>
          <w:b/>
          <w:bCs/>
          <w:kern w:val="2"/>
          <w:sz w:val="28"/>
          <w:szCs w:val="28"/>
          <w:lang w:val="en-US" w:eastAsia="zh-CN" w:bidi="ar-SA"/>
        </w:rPr>
        <w:t>、附则</w:t>
      </w:r>
    </w:p>
    <w:p>
      <w:pPr>
        <w:pStyle w:val="11"/>
        <w:keepNext w:val="0"/>
        <w:keepLines w:val="0"/>
        <w:pageBreakBefore w:val="0"/>
        <w:widowControl w:val="0"/>
        <w:kinsoku/>
        <w:wordWrap/>
        <w:overflowPunct/>
        <w:topLinePunct w:val="0"/>
        <w:autoSpaceDE/>
        <w:autoSpaceDN/>
        <w:bidi w:val="0"/>
        <w:adjustRightInd/>
        <w:snapToGrid/>
        <w:ind w:left="0" w:leftChars="0" w:firstLine="560" w:firstLineChars="200"/>
        <w:textAlignment w:val="auto"/>
        <w:rPr>
          <w:rFonts w:hint="default" w:ascii="宋体" w:hAnsi="宋体" w:eastAsia="宋体" w:cs="宋体"/>
          <w:kern w:val="2"/>
          <w:sz w:val="28"/>
          <w:szCs w:val="28"/>
          <w:lang w:val="en-US" w:eastAsia="zh-CN" w:bidi="ar-SA"/>
        </w:rPr>
      </w:pPr>
      <w:r>
        <w:rPr>
          <w:rFonts w:hint="default" w:ascii="宋体" w:hAnsi="宋体" w:eastAsia="宋体" w:cs="宋体"/>
          <w:kern w:val="2"/>
          <w:sz w:val="28"/>
          <w:szCs w:val="28"/>
          <w:lang w:val="en-US" w:eastAsia="zh-CN" w:bidi="ar-SA"/>
        </w:rPr>
        <w:t>本合同未尽事宜，由双方协商解决或补签补充</w:t>
      </w:r>
      <w:r>
        <w:rPr>
          <w:rFonts w:hint="eastAsia" w:ascii="宋体" w:hAnsi="宋体" w:cs="宋体"/>
          <w:kern w:val="2"/>
          <w:sz w:val="28"/>
          <w:szCs w:val="28"/>
          <w:lang w:val="en-US" w:eastAsia="zh-CN" w:bidi="ar-SA"/>
        </w:rPr>
        <w:t>合同</w:t>
      </w:r>
      <w:r>
        <w:rPr>
          <w:rFonts w:hint="default" w:ascii="宋体" w:hAnsi="宋体" w:eastAsia="宋体" w:cs="宋体"/>
          <w:kern w:val="2"/>
          <w:sz w:val="28"/>
          <w:szCs w:val="28"/>
          <w:lang w:val="en-US" w:eastAsia="zh-CN" w:bidi="ar-SA"/>
        </w:rPr>
        <w:t>，补充</w:t>
      </w:r>
      <w:r>
        <w:rPr>
          <w:rFonts w:hint="eastAsia" w:ascii="宋体" w:hAnsi="宋体" w:cs="宋体"/>
          <w:kern w:val="2"/>
          <w:sz w:val="28"/>
          <w:szCs w:val="28"/>
          <w:lang w:val="en-US" w:eastAsia="zh-CN" w:bidi="ar-SA"/>
        </w:rPr>
        <w:t>合同</w:t>
      </w:r>
      <w:r>
        <w:rPr>
          <w:rFonts w:hint="default" w:ascii="宋体" w:hAnsi="宋体" w:eastAsia="宋体" w:cs="宋体"/>
          <w:kern w:val="2"/>
          <w:sz w:val="28"/>
          <w:szCs w:val="28"/>
          <w:lang w:val="en-US" w:eastAsia="zh-CN" w:bidi="ar-SA"/>
        </w:rPr>
        <w:t>与本</w:t>
      </w:r>
      <w:r>
        <w:rPr>
          <w:rFonts w:hint="eastAsia" w:ascii="宋体" w:hAnsi="宋体" w:cs="宋体"/>
          <w:kern w:val="2"/>
          <w:sz w:val="28"/>
          <w:szCs w:val="28"/>
          <w:lang w:val="en-US" w:eastAsia="zh-CN" w:bidi="ar-SA"/>
        </w:rPr>
        <w:t>合同</w:t>
      </w:r>
      <w:r>
        <w:rPr>
          <w:rFonts w:hint="default" w:ascii="宋体" w:hAnsi="宋体" w:eastAsia="宋体" w:cs="宋体"/>
          <w:kern w:val="2"/>
          <w:sz w:val="28"/>
          <w:szCs w:val="28"/>
          <w:lang w:val="en-US" w:eastAsia="zh-CN" w:bidi="ar-SA"/>
        </w:rPr>
        <w:t>具有同等法律效力。</w:t>
      </w:r>
    </w:p>
    <w:p>
      <w:pPr>
        <w:pStyle w:val="11"/>
        <w:keepNext w:val="0"/>
        <w:keepLines w:val="0"/>
        <w:pageBreakBefore w:val="0"/>
        <w:widowControl w:val="0"/>
        <w:kinsoku/>
        <w:wordWrap/>
        <w:overflowPunct/>
        <w:topLinePunct w:val="0"/>
        <w:autoSpaceDE/>
        <w:autoSpaceDN/>
        <w:bidi w:val="0"/>
        <w:adjustRightInd/>
        <w:snapToGrid/>
        <w:ind w:left="0" w:leftChars="0" w:firstLine="560" w:firstLineChars="200"/>
        <w:textAlignment w:val="auto"/>
        <w:rPr>
          <w:rFonts w:hint="default" w:ascii="宋体" w:hAnsi="宋体" w:eastAsia="宋体" w:cs="宋体"/>
          <w:kern w:val="2"/>
          <w:sz w:val="28"/>
          <w:szCs w:val="28"/>
          <w:lang w:val="en-US" w:eastAsia="zh-CN" w:bidi="ar-SA"/>
        </w:rPr>
      </w:pPr>
    </w:p>
    <w:p>
      <w:pPr>
        <w:pStyle w:val="6"/>
        <w:keepNext w:val="0"/>
        <w:keepLines w:val="0"/>
        <w:pageBreakBefore w:val="0"/>
        <w:kinsoku/>
        <w:wordWrap/>
        <w:overflowPunct/>
        <w:topLinePunct w:val="0"/>
        <w:autoSpaceDE/>
        <w:autoSpaceDN/>
        <w:bidi w:val="0"/>
        <w:adjustRightInd/>
        <w:snapToGrid/>
        <w:spacing w:line="360" w:lineRule="auto"/>
        <w:ind w:firstLine="843" w:firstLineChars="300"/>
        <w:jc w:val="left"/>
        <w:textAlignment w:val="auto"/>
        <w:rPr>
          <w:rFonts w:hint="default" w:ascii="宋体" w:hAnsi="宋体" w:eastAsia="宋体" w:cs="宋体"/>
          <w:sz w:val="28"/>
          <w:szCs w:val="28"/>
          <w:lang w:val="en-US" w:eastAsia="zh-CN"/>
        </w:rPr>
      </w:pPr>
      <w:r>
        <w:rPr>
          <w:rFonts w:hint="eastAsia" w:ascii="宋体" w:hAnsi="宋体" w:eastAsia="宋体" w:cs="宋体"/>
          <w:b/>
          <w:bCs/>
          <w:sz w:val="28"/>
          <w:szCs w:val="28"/>
        </w:rPr>
        <w:t>甲方：</w:t>
      </w:r>
      <w:r>
        <w:rPr>
          <w:rFonts w:hint="eastAsia" w:hAnsi="宋体" w:eastAsia="宋体" w:cs="宋体"/>
          <w:b/>
          <w:bCs/>
          <w:sz w:val="28"/>
          <w:szCs w:val="28"/>
          <w:u w:val="single"/>
          <w:lang w:val="en-US" w:eastAsia="zh-CN"/>
        </w:rPr>
        <w:t xml:space="preserve">           </w:t>
      </w:r>
      <w:r>
        <w:rPr>
          <w:rFonts w:hint="eastAsia" w:ascii="宋体" w:hAnsi="宋体" w:eastAsia="宋体" w:cs="宋体"/>
          <w:sz w:val="28"/>
          <w:szCs w:val="28"/>
        </w:rPr>
        <w:t xml:space="preserve">          </w:t>
      </w:r>
      <w:r>
        <w:rPr>
          <w:rFonts w:hint="eastAsia" w:ascii="宋体" w:hAnsi="宋体" w:eastAsia="宋体" w:cs="宋体"/>
          <w:b/>
          <w:bCs/>
          <w:sz w:val="28"/>
          <w:szCs w:val="28"/>
        </w:rPr>
        <w:t xml:space="preserve"> 乙方：</w:t>
      </w:r>
      <w:r>
        <w:rPr>
          <w:rFonts w:hint="eastAsia" w:hAnsi="宋体" w:eastAsia="宋体" w:cs="宋体"/>
          <w:b/>
          <w:bCs/>
          <w:sz w:val="28"/>
          <w:szCs w:val="28"/>
          <w:u w:val="single"/>
          <w:lang w:val="en-US" w:eastAsia="zh-CN"/>
        </w:rPr>
        <w:t xml:space="preserve">                </w:t>
      </w:r>
    </w:p>
    <w:p>
      <w:pPr>
        <w:pStyle w:val="6"/>
        <w:keepNext w:val="0"/>
        <w:keepLines w:val="0"/>
        <w:pageBreakBefore w:val="0"/>
        <w:kinsoku/>
        <w:wordWrap/>
        <w:overflowPunct/>
        <w:topLinePunct w:val="0"/>
        <w:autoSpaceDE/>
        <w:autoSpaceDN/>
        <w:bidi w:val="0"/>
        <w:adjustRightInd/>
        <w:snapToGrid/>
        <w:spacing w:before="312" w:beforeLines="100" w:after="312" w:afterLines="100" w:line="36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（签  章）</w:t>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ab/>
      </w:r>
      <w:r>
        <w:rPr>
          <w:rFonts w:hint="eastAsia" w:ascii="宋体" w:hAnsi="宋体" w:eastAsia="宋体" w:cs="宋体"/>
          <w:sz w:val="28"/>
          <w:szCs w:val="28"/>
        </w:rPr>
        <w:t xml:space="preserve">         （签  章）</w:t>
      </w:r>
    </w:p>
    <w:p>
      <w:pPr>
        <w:pStyle w:val="6"/>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宋体" w:hAnsi="宋体" w:eastAsia="宋体" w:cs="宋体"/>
          <w:b/>
          <w:bCs/>
          <w:sz w:val="28"/>
          <w:szCs w:val="28"/>
        </w:rPr>
      </w:pPr>
      <w:r>
        <w:rPr>
          <w:rFonts w:hint="eastAsia" w:ascii="宋体" w:hAnsi="宋体" w:eastAsia="宋体" w:cs="宋体"/>
          <w:b/>
          <w:bCs/>
          <w:sz w:val="28"/>
          <w:szCs w:val="28"/>
        </w:rPr>
        <w:t>委托经办人：___________</w:t>
      </w:r>
      <w:r>
        <w:rPr>
          <w:rFonts w:hint="eastAsia" w:ascii="宋体" w:hAnsi="宋体" w:eastAsia="宋体" w:cs="宋体"/>
          <w:b/>
          <w:bCs/>
          <w:sz w:val="28"/>
          <w:szCs w:val="28"/>
        </w:rPr>
        <w:tab/>
      </w:r>
      <w:r>
        <w:rPr>
          <w:rFonts w:hint="eastAsia" w:ascii="宋体" w:hAnsi="宋体" w:eastAsia="宋体" w:cs="宋体"/>
          <w:b/>
          <w:bCs/>
          <w:sz w:val="28"/>
          <w:szCs w:val="28"/>
        </w:rPr>
        <w:t xml:space="preserve">  </w:t>
      </w:r>
      <w:r>
        <w:rPr>
          <w:rFonts w:hint="eastAsia" w:hAnsi="宋体" w:eastAsia="宋体" w:cs="宋体"/>
          <w:b/>
          <w:bCs/>
          <w:sz w:val="28"/>
          <w:szCs w:val="28"/>
          <w:lang w:val="en-US" w:eastAsia="zh-CN"/>
        </w:rPr>
        <w:t xml:space="preserve">   </w:t>
      </w:r>
      <w:r>
        <w:rPr>
          <w:rFonts w:hint="eastAsia" w:ascii="宋体" w:hAnsi="宋体" w:eastAsia="宋体" w:cs="宋体"/>
          <w:b/>
          <w:bCs/>
          <w:sz w:val="28"/>
          <w:szCs w:val="28"/>
        </w:rPr>
        <w:t>委托经办人：___________</w:t>
      </w:r>
    </w:p>
    <w:p>
      <w:pPr>
        <w:pStyle w:val="3"/>
        <w:keepNext w:val="0"/>
        <w:keepLines w:val="0"/>
        <w:pageBreakBefore w:val="0"/>
        <w:kinsoku/>
        <w:wordWrap/>
        <w:overflowPunct/>
        <w:topLinePunct w:val="0"/>
        <w:autoSpaceDE/>
        <w:autoSpaceDN/>
        <w:bidi w:val="0"/>
        <w:adjustRightInd/>
        <w:snapToGrid/>
        <w:ind w:firstLine="562" w:firstLineChars="200"/>
        <w:textAlignment w:val="auto"/>
        <w:rPr>
          <w:rFonts w:hint="eastAsia" w:ascii="宋体" w:hAnsi="宋体" w:eastAsia="宋体" w:cs="宋体"/>
          <w:sz w:val="28"/>
          <w:szCs w:val="28"/>
        </w:rPr>
      </w:pPr>
      <w:r>
        <w:rPr>
          <w:rFonts w:hint="eastAsia" w:ascii="宋体" w:hAnsi="宋体" w:eastAsia="宋体" w:cs="宋体"/>
          <w:b/>
          <w:bCs/>
          <w:spacing w:val="0"/>
          <w:kern w:val="2"/>
          <w:sz w:val="28"/>
          <w:szCs w:val="28"/>
        </w:rPr>
        <w:t>日期：</w:t>
      </w:r>
      <w:r>
        <w:rPr>
          <w:rFonts w:hint="eastAsia" w:ascii="宋体" w:hAnsi="宋体" w:eastAsia="宋体" w:cs="宋体"/>
          <w:b/>
          <w:bCs/>
          <w:spacing w:val="0"/>
          <w:kern w:val="2"/>
          <w:sz w:val="28"/>
          <w:szCs w:val="28"/>
          <w:lang w:val="en-US" w:eastAsia="zh-CN"/>
        </w:rPr>
        <w:t>2025</w:t>
      </w:r>
      <w:r>
        <w:rPr>
          <w:rFonts w:hint="eastAsia" w:ascii="宋体" w:hAnsi="宋体" w:eastAsia="宋体" w:cs="宋体"/>
          <w:b/>
          <w:bCs/>
          <w:spacing w:val="0"/>
          <w:kern w:val="2"/>
          <w:sz w:val="28"/>
          <w:szCs w:val="28"/>
        </w:rPr>
        <w:t>年    月    日     日期：</w:t>
      </w:r>
      <w:r>
        <w:rPr>
          <w:rFonts w:hint="eastAsia" w:ascii="宋体" w:hAnsi="宋体" w:eastAsia="宋体" w:cs="宋体"/>
          <w:b/>
          <w:bCs/>
          <w:spacing w:val="0"/>
          <w:kern w:val="2"/>
          <w:sz w:val="28"/>
          <w:szCs w:val="28"/>
          <w:lang w:val="en-US" w:eastAsia="zh-CN"/>
        </w:rPr>
        <w:t>2025</w:t>
      </w:r>
      <w:r>
        <w:rPr>
          <w:rFonts w:hint="eastAsia" w:ascii="宋体" w:hAnsi="宋体" w:eastAsia="宋体" w:cs="宋体"/>
          <w:b/>
          <w:bCs/>
          <w:spacing w:val="0"/>
          <w:kern w:val="2"/>
          <w:sz w:val="28"/>
          <w:szCs w:val="28"/>
        </w:rPr>
        <w:t xml:space="preserve">年 </w:t>
      </w:r>
      <w:r>
        <w:rPr>
          <w:rFonts w:hint="eastAsia" w:ascii="宋体" w:hAnsi="宋体" w:eastAsia="宋体" w:cs="宋体"/>
          <w:b/>
          <w:bCs/>
          <w:spacing w:val="0"/>
          <w:kern w:val="2"/>
          <w:sz w:val="28"/>
          <w:szCs w:val="28"/>
          <w:lang w:val="en-US" w:eastAsia="zh-CN"/>
        </w:rPr>
        <w:t xml:space="preserve"> </w:t>
      </w:r>
      <w:r>
        <w:rPr>
          <w:rFonts w:hint="eastAsia" w:ascii="宋体" w:hAnsi="宋体" w:eastAsia="宋体" w:cs="宋体"/>
          <w:b/>
          <w:bCs/>
          <w:spacing w:val="0"/>
          <w:kern w:val="2"/>
          <w:sz w:val="28"/>
          <w:szCs w:val="28"/>
        </w:rPr>
        <w:t xml:space="preserve">   月     日</w:t>
      </w:r>
    </w:p>
    <w:p/>
    <w:sectPr>
      <w:footerReference r:id="rId5"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GWZT-EN">
    <w:panose1 w:val="02020400000000000000"/>
    <w:charset w:val="86"/>
    <w:family w:val="auto"/>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280"/>
      <w:jc w:val="right"/>
      <w:rPr>
        <w:rFonts w:ascii="宋体" w:hAnsi="宋体"/>
        <w:sz w:val="28"/>
        <w:szCs w:val="28"/>
      </w:rPr>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280" w:firstLineChars="100"/>
      <w:rPr>
        <w:rFonts w:ascii="宋体" w:hAnsi="宋体"/>
        <w:sz w:val="28"/>
        <w:szCs w:val="28"/>
      </w:rPr>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wordWrap w:val="0"/>
      <w:jc w:val="right"/>
      <w:rPr>
        <w:rFonts w:ascii="宋体" w:hAnsi="宋体"/>
        <w:sz w:val="28"/>
        <w:szCs w:val="28"/>
      </w:rPr>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13</w:t>
    </w:r>
    <w:r>
      <w:rPr>
        <w:rFonts w:ascii="宋体" w:hAnsi="宋体"/>
        <w:sz w:val="28"/>
        <w:szCs w:val="28"/>
      </w:rPr>
      <w:fldChar w:fldCharType="end"/>
    </w:r>
    <w:r>
      <w:rPr>
        <w:rFonts w:hint="eastAsia" w:ascii="宋体" w:hAnsi="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2E3NzVmMDA1YTU4ODU2OGQ1MGEzMjc1MWFjNzIifQ=="/>
  </w:docVars>
  <w:rsids>
    <w:rsidRoot w:val="00D579E4"/>
    <w:rsid w:val="000C7A5B"/>
    <w:rsid w:val="001321B9"/>
    <w:rsid w:val="001E54D6"/>
    <w:rsid w:val="001E5812"/>
    <w:rsid w:val="00215815"/>
    <w:rsid w:val="002B274D"/>
    <w:rsid w:val="002B5A12"/>
    <w:rsid w:val="002F2A2F"/>
    <w:rsid w:val="003212EE"/>
    <w:rsid w:val="00346F24"/>
    <w:rsid w:val="00373DDF"/>
    <w:rsid w:val="003E70AB"/>
    <w:rsid w:val="003E783B"/>
    <w:rsid w:val="00405EC5"/>
    <w:rsid w:val="00422313"/>
    <w:rsid w:val="0043422A"/>
    <w:rsid w:val="00451509"/>
    <w:rsid w:val="00462D16"/>
    <w:rsid w:val="00474757"/>
    <w:rsid w:val="0049701C"/>
    <w:rsid w:val="0050229C"/>
    <w:rsid w:val="00563775"/>
    <w:rsid w:val="005C7321"/>
    <w:rsid w:val="005D0788"/>
    <w:rsid w:val="00610287"/>
    <w:rsid w:val="0061540C"/>
    <w:rsid w:val="00667892"/>
    <w:rsid w:val="006860F3"/>
    <w:rsid w:val="006922D3"/>
    <w:rsid w:val="006C2562"/>
    <w:rsid w:val="006D73A7"/>
    <w:rsid w:val="006E1018"/>
    <w:rsid w:val="006E370D"/>
    <w:rsid w:val="006F1956"/>
    <w:rsid w:val="00721A0F"/>
    <w:rsid w:val="007F3B6B"/>
    <w:rsid w:val="0082702F"/>
    <w:rsid w:val="00875CA5"/>
    <w:rsid w:val="00904E2B"/>
    <w:rsid w:val="0094343C"/>
    <w:rsid w:val="009533A1"/>
    <w:rsid w:val="00956FB7"/>
    <w:rsid w:val="00962FA0"/>
    <w:rsid w:val="009A40A9"/>
    <w:rsid w:val="00A234DF"/>
    <w:rsid w:val="00AC5752"/>
    <w:rsid w:val="00AD62FA"/>
    <w:rsid w:val="00B20312"/>
    <w:rsid w:val="00B52C40"/>
    <w:rsid w:val="00B7679A"/>
    <w:rsid w:val="00C25B30"/>
    <w:rsid w:val="00C34409"/>
    <w:rsid w:val="00C45874"/>
    <w:rsid w:val="00C86645"/>
    <w:rsid w:val="00CA0732"/>
    <w:rsid w:val="00CD1276"/>
    <w:rsid w:val="00D16861"/>
    <w:rsid w:val="00D3707D"/>
    <w:rsid w:val="00D47ECA"/>
    <w:rsid w:val="00D579E4"/>
    <w:rsid w:val="00D76958"/>
    <w:rsid w:val="00DD3477"/>
    <w:rsid w:val="00E006A7"/>
    <w:rsid w:val="00E16597"/>
    <w:rsid w:val="00E424C7"/>
    <w:rsid w:val="00FB35C1"/>
    <w:rsid w:val="039612A1"/>
    <w:rsid w:val="045911BE"/>
    <w:rsid w:val="06B17456"/>
    <w:rsid w:val="0AAA48E8"/>
    <w:rsid w:val="0B814E73"/>
    <w:rsid w:val="0C994C14"/>
    <w:rsid w:val="1341693D"/>
    <w:rsid w:val="13DF52F4"/>
    <w:rsid w:val="1A616756"/>
    <w:rsid w:val="1C6E6BD1"/>
    <w:rsid w:val="1CD65146"/>
    <w:rsid w:val="1D467AFD"/>
    <w:rsid w:val="1DAA4ED3"/>
    <w:rsid w:val="21BB092F"/>
    <w:rsid w:val="23607DE2"/>
    <w:rsid w:val="2667254A"/>
    <w:rsid w:val="27BD3DCC"/>
    <w:rsid w:val="2A4F4482"/>
    <w:rsid w:val="2C1125C1"/>
    <w:rsid w:val="2D233FA7"/>
    <w:rsid w:val="313024F3"/>
    <w:rsid w:val="33965D22"/>
    <w:rsid w:val="344B1C1C"/>
    <w:rsid w:val="35587D0C"/>
    <w:rsid w:val="398B055D"/>
    <w:rsid w:val="3A0520AF"/>
    <w:rsid w:val="3A5C07A3"/>
    <w:rsid w:val="3A940645"/>
    <w:rsid w:val="3B451C2B"/>
    <w:rsid w:val="40860614"/>
    <w:rsid w:val="40FF67DF"/>
    <w:rsid w:val="41A63192"/>
    <w:rsid w:val="46671304"/>
    <w:rsid w:val="467632F5"/>
    <w:rsid w:val="47D6229D"/>
    <w:rsid w:val="4992504B"/>
    <w:rsid w:val="4C8A18A8"/>
    <w:rsid w:val="4ECF699D"/>
    <w:rsid w:val="4F3D587B"/>
    <w:rsid w:val="5067058D"/>
    <w:rsid w:val="543520B6"/>
    <w:rsid w:val="545578CE"/>
    <w:rsid w:val="57092E08"/>
    <w:rsid w:val="57771017"/>
    <w:rsid w:val="583A0B95"/>
    <w:rsid w:val="5CFD7EC8"/>
    <w:rsid w:val="604579E3"/>
    <w:rsid w:val="616D381B"/>
    <w:rsid w:val="617D2DCC"/>
    <w:rsid w:val="629E506D"/>
    <w:rsid w:val="6837650F"/>
    <w:rsid w:val="6D955397"/>
    <w:rsid w:val="6E5C67B8"/>
    <w:rsid w:val="71844269"/>
    <w:rsid w:val="79B712D5"/>
    <w:rsid w:val="7A7E3F4B"/>
    <w:rsid w:val="7B53718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autoRedefine/>
    <w:qFormat/>
    <w:uiPriority w:val="9"/>
    <w:pPr>
      <w:keepNext/>
      <w:keepLines/>
      <w:spacing w:before="260" w:after="260" w:line="416" w:lineRule="auto"/>
      <w:outlineLvl w:val="1"/>
    </w:pPr>
    <w:rPr>
      <w:rFonts w:ascii="Cambria" w:hAnsi="Cambria"/>
      <w:b/>
      <w:bCs/>
      <w:sz w:val="32"/>
      <w:szCs w:val="32"/>
    </w:rPr>
  </w:style>
  <w:style w:type="character" w:default="1" w:styleId="14">
    <w:name w:val="Default Paragraph Font"/>
    <w:autoRedefine/>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link w:val="16"/>
    <w:autoRedefine/>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24"/>
      <w:lang w:eastAsia="en-US"/>
    </w:rPr>
  </w:style>
  <w:style w:type="paragraph" w:styleId="4">
    <w:name w:val="Body Text Indent"/>
    <w:basedOn w:val="1"/>
    <w:next w:val="5"/>
    <w:autoRedefine/>
    <w:qFormat/>
    <w:uiPriority w:val="0"/>
    <w:pPr>
      <w:tabs>
        <w:tab w:val="left" w:pos="0"/>
      </w:tabs>
      <w:spacing w:line="360" w:lineRule="auto"/>
      <w:ind w:left="420"/>
    </w:pPr>
    <w:rPr>
      <w:rFonts w:ascii="Times New Roman" w:hAnsi="Times New Roman" w:eastAsia="宋体" w:cs="Times New Roman"/>
      <w:sz w:val="24"/>
    </w:rPr>
  </w:style>
  <w:style w:type="paragraph" w:styleId="5">
    <w:name w:val="Body Text Indent 2"/>
    <w:basedOn w:val="1"/>
    <w:autoRedefine/>
    <w:qFormat/>
    <w:uiPriority w:val="0"/>
    <w:pPr>
      <w:spacing w:line="360" w:lineRule="auto"/>
      <w:ind w:firstLine="360" w:firstLineChars="150"/>
    </w:pPr>
    <w:rPr>
      <w:rFonts w:ascii="Times New Roman" w:hAnsi="Times New Roman" w:eastAsia="宋体" w:cs="Times New Roman"/>
      <w:sz w:val="24"/>
    </w:rPr>
  </w:style>
  <w:style w:type="paragraph" w:styleId="6">
    <w:name w:val="Plain Text"/>
    <w:basedOn w:val="1"/>
    <w:qFormat/>
    <w:uiPriority w:val="0"/>
    <w:rPr>
      <w:rFonts w:ascii="宋体" w:hAnsi="Courier New" w:cs="Courier New"/>
      <w:szCs w:val="21"/>
    </w:rPr>
  </w:style>
  <w:style w:type="paragraph" w:styleId="7">
    <w:name w:val="footer"/>
    <w:basedOn w:val="1"/>
    <w:link w:val="17"/>
    <w:autoRedefine/>
    <w:qFormat/>
    <w:uiPriority w:val="99"/>
    <w:pPr>
      <w:tabs>
        <w:tab w:val="center" w:pos="4153"/>
        <w:tab w:val="right" w:pos="8306"/>
      </w:tabs>
      <w:snapToGrid w:val="0"/>
      <w:jc w:val="left"/>
    </w:pPr>
    <w:rPr>
      <w:sz w:val="18"/>
    </w:rPr>
  </w:style>
  <w:style w:type="paragraph" w:styleId="8">
    <w:name w:val="header"/>
    <w:basedOn w:val="1"/>
    <w:link w:val="15"/>
    <w:autoRedefine/>
    <w:qFormat/>
    <w:uiPriority w:val="0"/>
    <w:pPr>
      <w:pBdr>
        <w:bottom w:val="single" w:color="auto" w:sz="6" w:space="1"/>
      </w:pBdr>
      <w:tabs>
        <w:tab w:val="center" w:pos="4153"/>
        <w:tab w:val="right" w:pos="8306"/>
      </w:tabs>
      <w:snapToGrid w:val="0"/>
      <w:jc w:val="center"/>
    </w:pPr>
    <w:rPr>
      <w:sz w:val="18"/>
      <w:szCs w:val="18"/>
    </w:rPr>
  </w:style>
  <w:style w:type="paragraph" w:styleId="9">
    <w:name w:val="footnote text"/>
    <w:basedOn w:val="1"/>
    <w:autoRedefine/>
    <w:qFormat/>
    <w:uiPriority w:val="0"/>
    <w:pPr>
      <w:snapToGrid w:val="0"/>
      <w:jc w:val="left"/>
    </w:pPr>
    <w:rPr>
      <w:sz w:val="18"/>
      <w:szCs w:val="18"/>
    </w:rPr>
  </w:style>
  <w:style w:type="paragraph" w:styleId="10">
    <w:name w:val="Normal (Web)"/>
    <w:basedOn w:val="1"/>
    <w:autoRedefine/>
    <w:unhideWhenUsed/>
    <w:qFormat/>
    <w:uiPriority w:val="99"/>
    <w:pPr>
      <w:spacing w:beforeAutospacing="1" w:afterAutospacing="1"/>
      <w:jc w:val="left"/>
    </w:pPr>
    <w:rPr>
      <w:kern w:val="0"/>
      <w:sz w:val="24"/>
    </w:rPr>
  </w:style>
  <w:style w:type="paragraph" w:styleId="11">
    <w:name w:val="Body Text First Indent 2"/>
    <w:basedOn w:val="4"/>
    <w:autoRedefine/>
    <w:qFormat/>
    <w:uiPriority w:val="99"/>
    <w:pPr>
      <w:ind w:firstLine="420" w:firstLineChars="200"/>
    </w:pPr>
  </w:style>
  <w:style w:type="table" w:styleId="13">
    <w:name w:val="Table Grid"/>
    <w:basedOn w:val="12"/>
    <w:autoRedefine/>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页眉 Char"/>
    <w:basedOn w:val="14"/>
    <w:link w:val="8"/>
    <w:autoRedefine/>
    <w:qFormat/>
    <w:uiPriority w:val="0"/>
    <w:rPr>
      <w:kern w:val="2"/>
      <w:sz w:val="18"/>
      <w:szCs w:val="18"/>
    </w:rPr>
  </w:style>
  <w:style w:type="character" w:customStyle="1" w:styleId="16">
    <w:name w:val="正文文本 Char"/>
    <w:basedOn w:val="14"/>
    <w:link w:val="3"/>
    <w:autoRedefine/>
    <w:qFormat/>
    <w:uiPriority w:val="0"/>
    <w:rPr>
      <w:rFonts w:ascii="宋体" w:hAnsi="宋体" w:eastAsia="宋体" w:cs="宋体"/>
      <w:snapToGrid w:val="0"/>
      <w:color w:val="000000"/>
      <w:sz w:val="24"/>
      <w:szCs w:val="24"/>
      <w:lang w:eastAsia="en-US"/>
    </w:rPr>
  </w:style>
  <w:style w:type="character" w:customStyle="1" w:styleId="17">
    <w:name w:val="页脚 Char"/>
    <w:basedOn w:val="14"/>
    <w:link w:val="7"/>
    <w:autoRedefine/>
    <w:qFormat/>
    <w:uiPriority w:val="99"/>
    <w:rPr>
      <w:kern w:val="2"/>
      <w:sz w:val="18"/>
      <w:szCs w:val="24"/>
    </w:rPr>
  </w:style>
  <w:style w:type="paragraph" w:customStyle="1" w:styleId="18">
    <w:name w:val="Fließtext"/>
    <w:basedOn w:val="1"/>
    <w:autoRedefine/>
    <w:qFormat/>
    <w:uiPriority w:val="0"/>
    <w:pPr>
      <w:overflowPunct w:val="0"/>
      <w:autoSpaceDE w:val="0"/>
      <w:autoSpaceDN w:val="0"/>
      <w:adjustRightInd w:val="0"/>
      <w:textAlignment w:val="baseline"/>
    </w:pPr>
    <w:rPr>
      <w:kern w:val="28"/>
      <w:szCs w:val="20"/>
    </w:rPr>
  </w:style>
  <w:style w:type="table" w:customStyle="1" w:styleId="19">
    <w:name w:val="Table Normal"/>
    <w:autoRedefine/>
    <w:unhideWhenUsed/>
    <w:qFormat/>
    <w:uiPriority w:val="0"/>
    <w:pPr>
      <w:spacing w:line="240" w:lineRule="auto"/>
    </w:pPr>
    <w:tblPr>
      <w:tblCellMar>
        <w:top w:w="0" w:type="dxa"/>
        <w:left w:w="0" w:type="dxa"/>
        <w:bottom w:w="0" w:type="dxa"/>
        <w:right w:w="0" w:type="dxa"/>
      </w:tblCellMar>
    </w:tblPr>
  </w:style>
  <w:style w:type="paragraph" w:customStyle="1" w:styleId="20">
    <w:name w:val="Table Text"/>
    <w:basedOn w:val="1"/>
    <w:autoRedefine/>
    <w:semiHidden/>
    <w:qFormat/>
    <w:uiPriority w:val="0"/>
    <w:rPr>
      <w:rFonts w:ascii="GWZT-EN"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674</Words>
  <Characters>704</Characters>
  <Lines>80</Lines>
  <Paragraphs>22</Paragraphs>
  <TotalTime>5</TotalTime>
  <ScaleCrop>false</ScaleCrop>
  <LinksUpToDate>false</LinksUpToDate>
  <CharactersWithSpaces>790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2024-12-09T16:46:00Z</dcterms:created>
  <dc:creator>DELL</dc:creator>
  <cp:lastModifiedBy>陈恩帆</cp:lastModifiedBy>
  <cp:lastPrinted>2025-10-20T00:08:00Z</cp:lastPrinted>
  <dcterms:modified xsi:type="dcterms:W3CDTF">2025-11-04T01:01:55Z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25AE75124BAB4D1AA8E12C1951EFFB22_13</vt:lpwstr>
  </property>
  <property fmtid="{D5CDD505-2E9C-101B-9397-08002B2CF9AE}" pid="4" name="KSOTemplateDocerSaveRecord">
    <vt:lpwstr>eyJoZGlkIjoiYTViYzgzZjhkM2RmNDM0NGU2ZDk2ODY1YTkzZDRmNWIiLCJ1c2VySWQiOiIxNTcxOTkxNTQ5In0=</vt:lpwstr>
  </property>
</Properties>
</file>